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6C" w:rsidRDefault="00CA7E61">
      <w:pPr>
        <w:pStyle w:val="BodyText"/>
        <w:rPr>
          <w:sz w:val="22"/>
        </w:rPr>
      </w:pPr>
      <w:r w:rsidRPr="00CA7E61">
        <w:pict>
          <v:group id="docshapegroup4" o:spid="_x0000_s1040" style="position:absolute;margin-left:40.6pt;margin-top:7pt;width:571.45pt;height:77.9pt;z-index:15730176;mso-position-horizontal-relative:page;mso-position-vertical-relative:page" coordorigin="812,140" coordsize="11429,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43" type="#_x0000_t75" style="position:absolute;left:811;top:469;width:1306;height:982">
              <v:imagedata r:id="rId7" o:title=""/>
            </v:shape>
            <v:rect id="docshape6" o:spid="_x0000_s1042" style="position:absolute;left:2139;top:140;width:10101;height:1558" stroked="f"/>
            <v:shapetype id="_x0000_t202" coordsize="21600,21600" o:spt="202" path="m,l,21600r21600,l21600,xe">
              <v:stroke joinstyle="miter"/>
              <v:path gradientshapeok="t" o:connecttype="rect"/>
            </v:shapetype>
            <v:shape id="docshape7" o:spid="_x0000_s1041" type="#_x0000_t202" style="position:absolute;left:811;top:140;width:11429;height:1558" filled="f" stroked="f">
              <v:textbox inset="0,0,0,0">
                <w:txbxContent>
                  <w:p w:rsidR="0020726C" w:rsidRDefault="00CA7E61">
                    <w:pPr>
                      <w:spacing w:before="70"/>
                      <w:ind w:left="8064"/>
                      <w:rPr>
                        <w:rFonts w:ascii="Calibri"/>
                        <w:b/>
                        <w:sz w:val="16"/>
                      </w:rPr>
                    </w:pPr>
                    <w:hyperlink r:id="rId8">
                      <w:r w:rsidR="00517E0C">
                        <w:rPr>
                          <w:rFonts w:ascii="Calibri"/>
                          <w:b/>
                          <w:color w:val="C00000"/>
                          <w:sz w:val="16"/>
                        </w:rPr>
                        <w:t>WWW.JSCCR.ORG,</w:t>
                      </w:r>
                    </w:hyperlink>
                    <w:r w:rsidR="002D7119">
                      <w:t xml:space="preserve"> </w:t>
                    </w:r>
                    <w:r w:rsidR="00517E0C">
                      <w:rPr>
                        <w:rFonts w:ascii="Calibri"/>
                        <w:b/>
                        <w:color w:val="C00000"/>
                        <w:sz w:val="16"/>
                      </w:rPr>
                      <w:t>ISSNE:XXXX-</w:t>
                    </w:r>
                    <w:r w:rsidR="00517E0C">
                      <w:rPr>
                        <w:rFonts w:ascii="Calibri"/>
                        <w:b/>
                        <w:color w:val="C00000"/>
                        <w:spacing w:val="-4"/>
                        <w:sz w:val="16"/>
                      </w:rPr>
                      <w:t>XXXX</w:t>
                    </w:r>
                  </w:p>
                  <w:p w:rsidR="0020726C" w:rsidRDefault="006D6528">
                    <w:pPr>
                      <w:spacing w:before="1"/>
                      <w:ind w:left="8055" w:right="670" w:hanging="3"/>
                      <w:rPr>
                        <w:rFonts w:ascii="Calibri"/>
                        <w:b/>
                        <w:sz w:val="16"/>
                      </w:rPr>
                    </w:pPr>
                    <w:r>
                      <w:rPr>
                        <w:rFonts w:ascii="Calibri"/>
                        <w:b/>
                        <w:color w:val="C00000"/>
                        <w:sz w:val="16"/>
                      </w:rPr>
                      <w:t>2024</w:t>
                    </w:r>
                    <w:r w:rsidR="00E05513">
                      <w:rPr>
                        <w:rFonts w:ascii="Calibri"/>
                        <w:b/>
                        <w:color w:val="C00000"/>
                        <w:sz w:val="16"/>
                      </w:rPr>
                      <w:t xml:space="preserve"> </w:t>
                    </w:r>
                    <w:r w:rsidR="002D7119">
                      <w:rPr>
                        <w:rFonts w:ascii="Calibri"/>
                        <w:b/>
                        <w:color w:val="C00000"/>
                        <w:sz w:val="16"/>
                      </w:rPr>
                      <w:t>August</w:t>
                    </w:r>
                    <w:r>
                      <w:rPr>
                        <w:rFonts w:ascii="Calibri"/>
                        <w:b/>
                        <w:color w:val="C00000"/>
                        <w:sz w:val="16"/>
                      </w:rPr>
                      <w:t>,</w:t>
                    </w:r>
                    <w:r w:rsidR="00E05513">
                      <w:rPr>
                        <w:rFonts w:ascii="Calibri"/>
                        <w:b/>
                        <w:color w:val="C00000"/>
                        <w:sz w:val="16"/>
                      </w:rPr>
                      <w:t xml:space="preserve"> </w:t>
                    </w:r>
                    <w:r>
                      <w:rPr>
                        <w:rFonts w:ascii="Calibri"/>
                        <w:b/>
                        <w:color w:val="C00000"/>
                        <w:sz w:val="16"/>
                      </w:rPr>
                      <w:t>Volume</w:t>
                    </w:r>
                    <w:r w:rsidR="00E05513">
                      <w:rPr>
                        <w:rFonts w:ascii="Calibri"/>
                        <w:b/>
                        <w:color w:val="C00000"/>
                        <w:sz w:val="16"/>
                      </w:rPr>
                      <w:t xml:space="preserve"> </w:t>
                    </w:r>
                    <w:r>
                      <w:rPr>
                        <w:rFonts w:ascii="Calibri"/>
                        <w:b/>
                        <w:color w:val="C00000"/>
                        <w:sz w:val="16"/>
                      </w:rPr>
                      <w:t>1</w:t>
                    </w:r>
                    <w:r w:rsidR="001232DC">
                      <w:rPr>
                        <w:rFonts w:ascii="Calibri"/>
                        <w:b/>
                        <w:color w:val="C00000"/>
                        <w:sz w:val="16"/>
                      </w:rPr>
                      <w:t xml:space="preserve">, </w:t>
                    </w:r>
                    <w:r>
                      <w:rPr>
                        <w:rFonts w:ascii="Calibri"/>
                        <w:b/>
                        <w:color w:val="C00000"/>
                        <w:sz w:val="16"/>
                      </w:rPr>
                      <w:t>Issue</w:t>
                    </w:r>
                    <w:r w:rsidR="00E05513">
                      <w:rPr>
                        <w:rFonts w:ascii="Calibri"/>
                        <w:b/>
                        <w:color w:val="C00000"/>
                        <w:sz w:val="16"/>
                      </w:rPr>
                      <w:t xml:space="preserve"> </w:t>
                    </w:r>
                    <w:r>
                      <w:rPr>
                        <w:rFonts w:ascii="Calibri"/>
                        <w:b/>
                        <w:color w:val="C00000"/>
                        <w:sz w:val="16"/>
                      </w:rPr>
                      <w:t>1,</w:t>
                    </w:r>
                    <w:r w:rsidR="001232DC">
                      <w:rPr>
                        <w:rFonts w:ascii="Calibri"/>
                        <w:b/>
                        <w:color w:val="C00000"/>
                        <w:sz w:val="16"/>
                      </w:rPr>
                      <w:t xml:space="preserve"> P 42-45</w:t>
                    </w:r>
                    <w:r w:rsidR="00E05513">
                      <w:rPr>
                        <w:rFonts w:ascii="Calibri"/>
                        <w:b/>
                        <w:color w:val="C00000"/>
                        <w:sz w:val="16"/>
                      </w:rPr>
                      <w:t xml:space="preserve">, </w:t>
                    </w:r>
                    <w:r w:rsidR="00517E0C">
                      <w:rPr>
                        <w:rFonts w:ascii="Calibri"/>
                        <w:b/>
                        <w:color w:val="C00000"/>
                        <w:spacing w:val="-4"/>
                        <w:sz w:val="16"/>
                      </w:rPr>
                      <w:t>DOI:</w:t>
                    </w:r>
                  </w:p>
                  <w:p w:rsidR="0020726C" w:rsidRDefault="00517E0C">
                    <w:pPr>
                      <w:spacing w:line="533" w:lineRule="exact"/>
                      <w:ind w:left="790"/>
                      <w:jc w:val="center"/>
                      <w:rPr>
                        <w:rFonts w:ascii="Calibri"/>
                        <w:b/>
                        <w:sz w:val="44"/>
                      </w:rPr>
                    </w:pPr>
                    <w:r>
                      <w:rPr>
                        <w:rFonts w:ascii="Calibri"/>
                        <w:b/>
                        <w:color w:val="C00000"/>
                        <w:sz w:val="44"/>
                      </w:rPr>
                      <w:t>JOURNAL</w:t>
                    </w:r>
                    <w:r w:rsidR="001232DC">
                      <w:rPr>
                        <w:rFonts w:ascii="Calibri"/>
                        <w:b/>
                        <w:color w:val="C00000"/>
                        <w:sz w:val="44"/>
                      </w:rPr>
                      <w:t xml:space="preserve"> </w:t>
                    </w:r>
                    <w:r>
                      <w:rPr>
                        <w:rFonts w:ascii="Calibri"/>
                        <w:b/>
                        <w:color w:val="C00000"/>
                        <w:sz w:val="44"/>
                      </w:rPr>
                      <w:t>FOR</w:t>
                    </w:r>
                    <w:r w:rsidR="001232DC">
                      <w:rPr>
                        <w:rFonts w:ascii="Calibri"/>
                        <w:b/>
                        <w:color w:val="C00000"/>
                        <w:sz w:val="44"/>
                      </w:rPr>
                      <w:t xml:space="preserve"> </w:t>
                    </w:r>
                    <w:r>
                      <w:rPr>
                        <w:rFonts w:ascii="Calibri"/>
                        <w:b/>
                        <w:color w:val="C00000"/>
                        <w:sz w:val="44"/>
                      </w:rPr>
                      <w:t>STEM</w:t>
                    </w:r>
                    <w:r w:rsidR="001232DC">
                      <w:rPr>
                        <w:rFonts w:ascii="Calibri"/>
                        <w:b/>
                        <w:color w:val="C00000"/>
                        <w:sz w:val="44"/>
                      </w:rPr>
                      <w:t xml:space="preserve"> </w:t>
                    </w:r>
                    <w:r>
                      <w:rPr>
                        <w:rFonts w:ascii="Calibri"/>
                        <w:b/>
                        <w:color w:val="C00000"/>
                        <w:sz w:val="44"/>
                      </w:rPr>
                      <w:t>CELL</w:t>
                    </w:r>
                    <w:r w:rsidR="001232DC">
                      <w:rPr>
                        <w:rFonts w:ascii="Calibri"/>
                        <w:b/>
                        <w:color w:val="C00000"/>
                        <w:sz w:val="44"/>
                      </w:rPr>
                      <w:t xml:space="preserve"> </w:t>
                    </w:r>
                    <w:r>
                      <w:rPr>
                        <w:rFonts w:ascii="Calibri"/>
                        <w:b/>
                        <w:color w:val="C00000"/>
                        <w:sz w:val="44"/>
                      </w:rPr>
                      <w:t>AND</w:t>
                    </w:r>
                    <w:r w:rsidR="001232DC">
                      <w:rPr>
                        <w:rFonts w:ascii="Calibri"/>
                        <w:b/>
                        <w:color w:val="C00000"/>
                        <w:sz w:val="44"/>
                      </w:rPr>
                      <w:t xml:space="preserve"> </w:t>
                    </w:r>
                    <w:r>
                      <w:rPr>
                        <w:rFonts w:ascii="Calibri"/>
                        <w:b/>
                        <w:color w:val="C00000"/>
                        <w:sz w:val="44"/>
                      </w:rPr>
                      <w:t>CLINICAL</w:t>
                    </w:r>
                    <w:r w:rsidR="001232DC">
                      <w:rPr>
                        <w:rFonts w:ascii="Calibri"/>
                        <w:b/>
                        <w:color w:val="C00000"/>
                        <w:sz w:val="44"/>
                      </w:rPr>
                      <w:t xml:space="preserve"> </w:t>
                    </w:r>
                    <w:r>
                      <w:rPr>
                        <w:rFonts w:ascii="Calibri"/>
                        <w:b/>
                        <w:color w:val="C00000"/>
                        <w:spacing w:val="-2"/>
                        <w:sz w:val="44"/>
                      </w:rPr>
                      <w:t>RESEARCH</w:t>
                    </w:r>
                  </w:p>
                </w:txbxContent>
              </v:textbox>
            </v:shape>
            <w10:wrap anchorx="page" anchory="page"/>
          </v:group>
        </w:pict>
      </w:r>
    </w:p>
    <w:p w:rsidR="0020726C" w:rsidRDefault="0020726C">
      <w:pPr>
        <w:pStyle w:val="BodyText"/>
        <w:rPr>
          <w:sz w:val="22"/>
        </w:rPr>
      </w:pPr>
    </w:p>
    <w:p w:rsidR="0020726C" w:rsidRDefault="0020726C">
      <w:pPr>
        <w:pStyle w:val="BodyText"/>
        <w:rPr>
          <w:sz w:val="22"/>
        </w:rPr>
      </w:pPr>
    </w:p>
    <w:p w:rsidR="0020726C" w:rsidRDefault="0020726C">
      <w:pPr>
        <w:pStyle w:val="BodyText"/>
        <w:rPr>
          <w:sz w:val="22"/>
        </w:rPr>
      </w:pPr>
    </w:p>
    <w:p w:rsidR="0020726C" w:rsidRDefault="0020726C">
      <w:pPr>
        <w:pStyle w:val="BodyText"/>
        <w:rPr>
          <w:sz w:val="22"/>
        </w:rPr>
      </w:pPr>
    </w:p>
    <w:p w:rsidR="0020726C" w:rsidRDefault="0020726C">
      <w:pPr>
        <w:pStyle w:val="BodyText"/>
        <w:spacing w:before="233"/>
        <w:rPr>
          <w:sz w:val="22"/>
        </w:rPr>
      </w:pPr>
    </w:p>
    <w:p w:rsidR="0020726C" w:rsidRDefault="00CA7E61">
      <w:pPr>
        <w:tabs>
          <w:tab w:val="left" w:pos="4172"/>
          <w:tab w:val="left" w:pos="8274"/>
        </w:tabs>
        <w:ind w:right="182"/>
        <w:jc w:val="center"/>
        <w:rPr>
          <w:rFonts w:ascii="Calibri"/>
          <w:b/>
        </w:rPr>
      </w:pPr>
      <w:r w:rsidRPr="00CA7E61">
        <w:pict>
          <v:group id="docshapegroup8" o:spid="_x0000_s1037" style="position:absolute;left:0;text-align:left;margin-left:-1.1pt;margin-top:-5.9pt;width:614.25pt;height:2.3pt;z-index:15730688;mso-position-horizontal-relative:page" coordorigin="-23,-118" coordsize="12285,46">
            <v:line id="_x0000_s1039" style="position:absolute" from="0,-96" to="12240,-95" strokecolor="#c00000" strokeweight="2.25pt"/>
            <v:line id="_x0000_s1038" style="position:absolute" from="12240,-95" to="0,-95" strokecolor="#c00000" strokeweight="2.25pt"/>
            <w10:wrap anchorx="page"/>
          </v:group>
        </w:pict>
      </w:r>
      <w:r w:rsidRPr="00CA7E61">
        <w:pict>
          <v:line id="_x0000_s1036" style="position:absolute;left:0;text-align:left;z-index:15731200;mso-position-horizontal-relative:page" from="0,17.75pt" to="612pt,17.75pt" strokecolor="#c00000" strokeweight="2.25pt">
            <w10:wrap anchorx="page"/>
          </v:line>
        </w:pict>
      </w:r>
      <w:r w:rsidR="00DC7B77">
        <w:rPr>
          <w:rFonts w:ascii="Calibri"/>
          <w:b/>
          <w:spacing w:val="-2"/>
        </w:rPr>
        <w:t>Medicine</w:t>
      </w:r>
      <w:r w:rsidR="00517E0C">
        <w:rPr>
          <w:rFonts w:ascii="Calibri"/>
          <w:b/>
        </w:rPr>
        <w:tab/>
      </w:r>
      <w:hyperlink r:id="rId9">
        <w:r w:rsidR="00517E0C">
          <w:rPr>
            <w:rFonts w:ascii="Calibri"/>
            <w:b/>
            <w:spacing w:val="-2"/>
          </w:rPr>
          <w:t>www.jsccr.org</w:t>
        </w:r>
      </w:hyperlink>
      <w:r w:rsidR="00517E0C">
        <w:rPr>
          <w:rFonts w:ascii="Calibri"/>
          <w:b/>
        </w:rPr>
        <w:tab/>
        <w:t>Paper</w:t>
      </w:r>
      <w:r w:rsidR="006D6528">
        <w:rPr>
          <w:rFonts w:ascii="Calibri"/>
          <w:b/>
        </w:rPr>
        <w:t xml:space="preserve"> </w:t>
      </w:r>
      <w:r w:rsidR="00517E0C">
        <w:rPr>
          <w:rFonts w:ascii="Calibri"/>
          <w:b/>
        </w:rPr>
        <w:t>Published</w:t>
      </w:r>
      <w:r w:rsidR="006D6528">
        <w:rPr>
          <w:rFonts w:ascii="Calibri"/>
          <w:b/>
        </w:rPr>
        <w:t xml:space="preserve"> </w:t>
      </w:r>
      <w:r w:rsidR="00517E0C">
        <w:rPr>
          <w:rFonts w:ascii="Calibri"/>
          <w:b/>
        </w:rPr>
        <w:t>Date:</w:t>
      </w:r>
      <w:r w:rsidR="001232DC">
        <w:rPr>
          <w:rFonts w:ascii="Calibri"/>
          <w:b/>
          <w:spacing w:val="-2"/>
        </w:rPr>
        <w:t>09</w:t>
      </w:r>
      <w:r w:rsidR="00DC7B77">
        <w:rPr>
          <w:rFonts w:ascii="Calibri"/>
          <w:b/>
          <w:spacing w:val="-2"/>
        </w:rPr>
        <w:t>/08</w:t>
      </w:r>
      <w:r w:rsidR="00517E0C">
        <w:rPr>
          <w:rFonts w:ascii="Calibri"/>
          <w:b/>
          <w:spacing w:val="-2"/>
        </w:rPr>
        <w:t>/2024</w:t>
      </w:r>
    </w:p>
    <w:p w:rsidR="0020726C" w:rsidRDefault="0020726C">
      <w:pPr>
        <w:pStyle w:val="BodyText"/>
        <w:spacing w:before="188"/>
        <w:rPr>
          <w:rFonts w:ascii="Calibri"/>
          <w:b/>
          <w:sz w:val="22"/>
        </w:rPr>
      </w:pPr>
    </w:p>
    <w:p w:rsidR="0020726C" w:rsidRDefault="001232DC">
      <w:pPr>
        <w:pStyle w:val="Heading1"/>
        <w:spacing w:line="278" w:lineRule="auto"/>
        <w:ind w:left="643" w:right="797"/>
        <w:jc w:val="center"/>
      </w:pPr>
      <w:r>
        <w:t>Managing Chronic Pain: A Comprehensive Guide for Primary Care Physicians</w:t>
      </w:r>
      <w:r w:rsidR="00E05513">
        <w:tab/>
      </w:r>
    </w:p>
    <w:p w:rsidR="0020726C" w:rsidRDefault="00CA7E61">
      <w:pPr>
        <w:pStyle w:val="BodyText"/>
        <w:spacing w:before="265" w:line="247" w:lineRule="auto"/>
        <w:ind w:left="3068" w:right="3218"/>
        <w:jc w:val="center"/>
      </w:pPr>
      <w:r>
        <w:pict>
          <v:rect id="docshape9" o:spid="_x0000_s1035" style="position:absolute;left:0;text-align:left;margin-left:0;margin-top:57.5pt;width:612pt;height:2.25pt;z-index:15731712;mso-position-horizontal-relative:page" fillcolor="#c00000" stroked="f">
            <w10:wrap anchorx="page"/>
          </v:rect>
        </w:pict>
      </w:r>
      <w:r w:rsidR="001232DC">
        <w:t>Dr. Anjana Om Kasyeap, Dr. Bhanu Prakash</w:t>
      </w:r>
    </w:p>
    <w:p w:rsidR="00DC7B77" w:rsidRDefault="00DC7B77">
      <w:pPr>
        <w:pStyle w:val="BodyText"/>
        <w:spacing w:before="265" w:line="247" w:lineRule="auto"/>
        <w:ind w:left="3068" w:right="3218"/>
        <w:jc w:val="center"/>
      </w:pPr>
      <w:r>
        <w:t>CIIMSR, Bhopal, MP</w:t>
      </w:r>
    </w:p>
    <w:p w:rsidR="0020726C" w:rsidRDefault="00CA7E61">
      <w:pPr>
        <w:pStyle w:val="BodyText"/>
        <w:spacing w:before="194"/>
        <w:rPr>
          <w:sz w:val="20"/>
        </w:rPr>
      </w:pPr>
      <w:r w:rsidRPr="00CA7E61">
        <w:pict>
          <v:shape id="docshape10" o:spid="_x0000_s1034" type="#_x0000_t202" style="position:absolute;margin-left:22.55pt;margin-top:22.85pt;width:568.5pt;height:158.05pt;z-index:-15728640;mso-wrap-distance-left:0;mso-wrap-distance-right:0;mso-position-horizontal-relative:page" filled="f">
            <v:textbox style="mso-next-textbox:#docshape10" inset="0,0,0,0">
              <w:txbxContent>
                <w:p w:rsidR="001232DC" w:rsidRDefault="001232DC" w:rsidP="001232DC">
                  <w:pPr>
                    <w:pStyle w:val="NormalWeb"/>
                  </w:pPr>
                  <w:r w:rsidRPr="001232DC">
                    <w:rPr>
                      <w:b/>
                    </w:rPr>
                    <w:t>Abstract:</w:t>
                  </w:r>
                  <w:r>
                    <w:t xml:space="preserve"> Chronic pain is a prevalent and complex condition that significantly impacts patients’ quality of life. Primary care physicians play a pivotal role in its management. This guide offers a comprehensive overview of effective strategies for assessing, diagnosing, and treating chronic pain in the primary care setting. It provides practical guidance on implementing a biopsychosocial approach, incorporating non-pharmacological interventions, and judiciously utilizing pharmacotherapy. The importance of patient education, shared decision-making, and referral to specialized pain management services is emphasized. By following the recommendations outlined in this guide, primary care physicians can enhance their ability to manage chronic pain, improve patient outcomes, and reduce the burden of this debilitating condition.</w:t>
                  </w:r>
                </w:p>
                <w:p w:rsidR="001232DC" w:rsidRDefault="001232DC" w:rsidP="001232DC">
                  <w:pPr>
                    <w:pStyle w:val="NormalWeb"/>
                  </w:pPr>
                  <w:r>
                    <w:rPr>
                      <w:rStyle w:val="Strong"/>
                    </w:rPr>
                    <w:t>Keywords:</w:t>
                  </w:r>
                  <w:r>
                    <w:t xml:space="preserve"> chronic pain, primary care, pain management, biopsychosocial, non-pharmacological interventions, pharmacotherapy, patient education.</w:t>
                  </w:r>
                </w:p>
                <w:p w:rsidR="00E05513" w:rsidRDefault="00E05513">
                  <w:pPr>
                    <w:pStyle w:val="BodyText"/>
                    <w:spacing w:before="198"/>
                    <w:ind w:left="143"/>
                  </w:pPr>
                </w:p>
                <w:p w:rsidR="00E05513" w:rsidRDefault="00E05513">
                  <w:pPr>
                    <w:pStyle w:val="BodyText"/>
                    <w:spacing w:before="198"/>
                    <w:ind w:left="143"/>
                  </w:pPr>
                </w:p>
              </w:txbxContent>
            </v:textbox>
            <w10:wrap type="topAndBottom" anchorx="page"/>
          </v:shape>
        </w:pict>
      </w:r>
    </w:p>
    <w:p w:rsidR="0020726C" w:rsidRDefault="0020726C">
      <w:pPr>
        <w:pStyle w:val="BodyText"/>
        <w:rPr>
          <w:sz w:val="20"/>
        </w:rPr>
      </w:pPr>
    </w:p>
    <w:p w:rsidR="0020726C" w:rsidRDefault="00CA7E61" w:rsidP="00E05513">
      <w:pPr>
        <w:pStyle w:val="BodyText"/>
        <w:spacing w:before="128"/>
        <w:rPr>
          <w:sz w:val="20"/>
        </w:rPr>
        <w:sectPr w:rsidR="0020726C">
          <w:footerReference w:type="default" r:id="rId10"/>
          <w:type w:val="continuous"/>
          <w:pgSz w:w="12240" w:h="15840"/>
          <w:pgMar w:top="140" w:right="0" w:bottom="440" w:left="120" w:header="0" w:footer="257" w:gutter="0"/>
          <w:pgNumType w:start="1"/>
          <w:cols w:space="720"/>
        </w:sectPr>
      </w:pPr>
      <w:r w:rsidRPr="00CA7E61">
        <w:rPr>
          <w:noProof/>
        </w:rPr>
        <w:pict>
          <v:shape id="_x0000_s1045" type="#_x0000_t202" style="position:absolute;margin-left:-4.8pt;margin-top:370.85pt;width:611.95pt;height:24.45pt;z-index:487589888" fillcolor="#c00000">
            <v:textbox>
              <w:txbxContent>
                <w:p w:rsidR="00816E35" w:rsidRPr="00816E35" w:rsidRDefault="00816E35" w:rsidP="00816E35">
                  <w:pPr>
                    <w:jc w:val="center"/>
                    <w:rPr>
                      <w:sz w:val="16"/>
                    </w:rPr>
                  </w:pPr>
                  <w:r w:rsidRPr="00816E35">
                    <w:rPr>
                      <w:sz w:val="16"/>
                    </w:rPr>
                    <w:t>Website: www.JSCCR.ORG, JSCCR, ISSN E: xxxx-xx</w:t>
                  </w:r>
                  <w:r>
                    <w:rPr>
                      <w:sz w:val="16"/>
                    </w:rPr>
                    <w:t>xx, 2024, Volume 1, Issue 1, P:1-4</w:t>
                  </w:r>
                  <w:r w:rsidRPr="00816E35">
                    <w:rPr>
                      <w:sz w:val="16"/>
                    </w:rPr>
                    <w:t>, Journal for Stem Cell And Clinical Research, Page No 1</w:t>
                  </w:r>
                </w:p>
              </w:txbxContent>
            </v:textbox>
          </v:shape>
        </w:pict>
      </w:r>
      <w:r w:rsidRPr="00CA7E61">
        <w:pict>
          <v:shape id="docshape12" o:spid="_x0000_s1032" type="#_x0000_t202" style="position:absolute;margin-left:294.45pt;margin-top:19.6pt;width:301.95pt;height:311.4pt;z-index:-15727616;mso-wrap-distance-left:0;mso-wrap-distance-right:0;mso-position-horizontal-relative:page" filled="f" strokeweight="1pt">
            <v:textbox style="mso-next-textbox:#docshape12" inset="0,0,0,0">
              <w:txbxContent>
                <w:p w:rsidR="002D7119" w:rsidRPr="003418A8" w:rsidRDefault="002D7119" w:rsidP="002D7119">
                  <w:pPr>
                    <w:spacing w:before="100" w:beforeAutospacing="1" w:after="100" w:afterAutospacing="1"/>
                    <w:outlineLvl w:val="1"/>
                    <w:rPr>
                      <w:b/>
                      <w:bCs/>
                      <w:sz w:val="36"/>
                      <w:szCs w:val="36"/>
                    </w:rPr>
                  </w:pPr>
                  <w:r w:rsidRPr="003418A8">
                    <w:rPr>
                      <w:b/>
                      <w:bCs/>
                      <w:sz w:val="36"/>
                      <w:szCs w:val="36"/>
                    </w:rPr>
                    <w:t>Review of Literature</w:t>
                  </w:r>
                </w:p>
                <w:p w:rsidR="002D7119" w:rsidRPr="003418A8" w:rsidRDefault="002D7119" w:rsidP="002D7119">
                  <w:pPr>
                    <w:spacing w:before="100" w:beforeAutospacing="1" w:after="100" w:afterAutospacing="1"/>
                    <w:rPr>
                      <w:sz w:val="24"/>
                      <w:szCs w:val="24"/>
                    </w:rPr>
                  </w:pPr>
                  <w:r w:rsidRPr="003418A8">
                    <w:rPr>
                      <w:sz w:val="24"/>
                      <w:szCs w:val="24"/>
                    </w:rPr>
                    <w:t>The escalating prevalence of type 2 diabetes mellitus (T2DM) has prompted extensive research to elucidate its etiology, risk factors, and management strategies. Numerous studies have underscored the pivotal role of lifestyle factors, including obesity, physical inactivity, and unhealthy dietary patterns, in the development and progression of T2DM.</w:t>
                  </w:r>
                </w:p>
                <w:p w:rsidR="002D7119" w:rsidRPr="003418A8" w:rsidRDefault="002D7119" w:rsidP="002D7119">
                  <w:pPr>
                    <w:spacing w:before="100" w:beforeAutospacing="1" w:after="100" w:afterAutospacing="1"/>
                    <w:outlineLvl w:val="2"/>
                    <w:rPr>
                      <w:b/>
                      <w:bCs/>
                      <w:sz w:val="27"/>
                      <w:szCs w:val="27"/>
                    </w:rPr>
                  </w:pPr>
                  <w:r w:rsidRPr="003418A8">
                    <w:rPr>
                      <w:b/>
                      <w:bCs/>
                      <w:sz w:val="27"/>
                      <w:szCs w:val="27"/>
                    </w:rPr>
                    <w:t>Risk Factors</w:t>
                  </w:r>
                </w:p>
                <w:p w:rsidR="002D7119" w:rsidRPr="003418A8" w:rsidRDefault="002D7119" w:rsidP="002D7119">
                  <w:pPr>
                    <w:widowControl/>
                    <w:numPr>
                      <w:ilvl w:val="0"/>
                      <w:numId w:val="4"/>
                    </w:numPr>
                    <w:autoSpaceDE/>
                    <w:autoSpaceDN/>
                    <w:spacing w:before="100" w:beforeAutospacing="1" w:after="100" w:afterAutospacing="1"/>
                    <w:rPr>
                      <w:sz w:val="24"/>
                      <w:szCs w:val="24"/>
                    </w:rPr>
                  </w:pPr>
                  <w:r w:rsidRPr="003418A8">
                    <w:rPr>
                      <w:b/>
                      <w:bCs/>
                      <w:sz w:val="24"/>
                      <w:szCs w:val="24"/>
                    </w:rPr>
                    <w:t>Obesity:</w:t>
                  </w:r>
                  <w:r w:rsidRPr="003418A8">
                    <w:rPr>
                      <w:sz w:val="24"/>
                      <w:szCs w:val="24"/>
                    </w:rPr>
                    <w:t xml:space="preserve"> A consistent body of evidence links obesity to an increased risk of T2DM. Studies have demonstrated a strong correlation between body mass index (BMI) and insulin resis</w:t>
                  </w:r>
                  <w:r>
                    <w:rPr>
                      <w:sz w:val="24"/>
                      <w:szCs w:val="24"/>
                    </w:rPr>
                    <w:t>tance, a key precursor to T2DM</w:t>
                  </w:r>
                  <w:r w:rsidRPr="003418A8">
                    <w:rPr>
                      <w:sz w:val="24"/>
                      <w:szCs w:val="24"/>
                    </w:rPr>
                    <w:t>.</w:t>
                  </w:r>
                </w:p>
                <w:p w:rsidR="002D7119" w:rsidRDefault="002D7119" w:rsidP="002D7119">
                  <w:pPr>
                    <w:widowControl/>
                    <w:numPr>
                      <w:ilvl w:val="0"/>
                      <w:numId w:val="4"/>
                    </w:numPr>
                    <w:autoSpaceDE/>
                    <w:autoSpaceDN/>
                    <w:spacing w:before="100" w:beforeAutospacing="1" w:after="100" w:afterAutospacing="1"/>
                    <w:rPr>
                      <w:sz w:val="24"/>
                      <w:szCs w:val="24"/>
                    </w:rPr>
                  </w:pPr>
                  <w:r w:rsidRPr="003418A8">
                    <w:rPr>
                      <w:b/>
                      <w:bCs/>
                      <w:sz w:val="24"/>
                      <w:szCs w:val="24"/>
                    </w:rPr>
                    <w:t>Physical Inactivity:</w:t>
                  </w:r>
                  <w:r w:rsidRPr="003418A8">
                    <w:rPr>
                      <w:sz w:val="24"/>
                      <w:szCs w:val="24"/>
                    </w:rPr>
                    <w:t xml:space="preserve"> A sedentary lifestyle is associated with a heightened risk of T2DM. Research has shown that regular physical activity improves insulin sensitivity and glucose co</w:t>
                  </w:r>
                  <w:r>
                    <w:rPr>
                      <w:sz w:val="24"/>
                      <w:szCs w:val="24"/>
                    </w:rPr>
                    <w:t>ntrol</w:t>
                  </w:r>
                  <w:r w:rsidRPr="003418A8">
                    <w:rPr>
                      <w:sz w:val="24"/>
                      <w:szCs w:val="24"/>
                    </w:rPr>
                    <w:t>.</w:t>
                  </w:r>
                </w:p>
                <w:p w:rsidR="002D7119" w:rsidRPr="003418A8" w:rsidRDefault="002D7119" w:rsidP="002D7119">
                  <w:pPr>
                    <w:widowControl/>
                    <w:autoSpaceDE/>
                    <w:autoSpaceDN/>
                    <w:spacing w:before="100" w:beforeAutospacing="1" w:after="100" w:afterAutospacing="1"/>
                    <w:rPr>
                      <w:sz w:val="24"/>
                      <w:szCs w:val="24"/>
                    </w:rPr>
                  </w:pPr>
                </w:p>
                <w:p w:rsidR="002D7119" w:rsidRPr="003418A8" w:rsidRDefault="002D7119" w:rsidP="002D7119">
                  <w:pPr>
                    <w:widowControl/>
                    <w:numPr>
                      <w:ilvl w:val="0"/>
                      <w:numId w:val="4"/>
                    </w:numPr>
                    <w:autoSpaceDE/>
                    <w:autoSpaceDN/>
                    <w:spacing w:before="100" w:beforeAutospacing="1" w:after="100" w:afterAutospacing="1"/>
                    <w:rPr>
                      <w:sz w:val="24"/>
                      <w:szCs w:val="24"/>
                    </w:rPr>
                  </w:pPr>
                  <w:r w:rsidRPr="003418A8">
                    <w:rPr>
                      <w:b/>
                      <w:bCs/>
                      <w:sz w:val="24"/>
                      <w:szCs w:val="24"/>
                    </w:rPr>
                    <w:t>Dietary Factors:</w:t>
                  </w:r>
                  <w:r w:rsidRPr="003418A8">
                    <w:rPr>
                      <w:sz w:val="24"/>
                      <w:szCs w:val="24"/>
                    </w:rPr>
                    <w:t xml:space="preserve"> Dietary patterns rich in processed foods, saturated fats, and added sugars have been implicated in the development of T2DM. Conversely, diets emphasizing whole grains, fruits, vegetables, and lean proteins have been show</w:t>
                  </w:r>
                  <w:r>
                    <w:rPr>
                      <w:sz w:val="24"/>
                      <w:szCs w:val="24"/>
                    </w:rPr>
                    <w:t>n to reduce the risk</w:t>
                  </w:r>
                  <w:r w:rsidRPr="003418A8">
                    <w:rPr>
                      <w:sz w:val="24"/>
                      <w:szCs w:val="24"/>
                    </w:rPr>
                    <w:t>.</w:t>
                  </w:r>
                </w:p>
                <w:p w:rsidR="002D7119" w:rsidRPr="003418A8" w:rsidRDefault="002D7119" w:rsidP="002D7119">
                  <w:pPr>
                    <w:widowControl/>
                    <w:numPr>
                      <w:ilvl w:val="0"/>
                      <w:numId w:val="4"/>
                    </w:numPr>
                    <w:autoSpaceDE/>
                    <w:autoSpaceDN/>
                    <w:spacing w:before="100" w:beforeAutospacing="1" w:after="100" w:afterAutospacing="1"/>
                    <w:rPr>
                      <w:sz w:val="24"/>
                      <w:szCs w:val="24"/>
                    </w:rPr>
                  </w:pPr>
                  <w:r w:rsidRPr="003418A8">
                    <w:rPr>
                      <w:b/>
                      <w:bCs/>
                      <w:sz w:val="24"/>
                      <w:szCs w:val="24"/>
                    </w:rPr>
                    <w:t>Genetic Predisposition:</w:t>
                  </w:r>
                  <w:r w:rsidRPr="003418A8">
                    <w:rPr>
                      <w:sz w:val="24"/>
                      <w:szCs w:val="24"/>
                    </w:rPr>
                    <w:t xml:space="preserve"> While lifestyle factors play a significant role, genetic susceptibility also contributes to T2DM risk. Several genetic variants have been identified that increase the likelihood of de</w:t>
                  </w:r>
                  <w:r>
                    <w:rPr>
                      <w:sz w:val="24"/>
                      <w:szCs w:val="24"/>
                    </w:rPr>
                    <w:t>veloping the disease</w:t>
                  </w:r>
                  <w:r w:rsidRPr="003418A8">
                    <w:rPr>
                      <w:sz w:val="24"/>
                      <w:szCs w:val="24"/>
                    </w:rPr>
                    <w:t>.</w:t>
                  </w:r>
                </w:p>
                <w:p w:rsidR="0020726C" w:rsidRDefault="0020726C">
                  <w:pPr>
                    <w:pStyle w:val="BodyText"/>
                    <w:spacing w:before="199"/>
                    <w:ind w:left="145" w:right="142"/>
                    <w:jc w:val="both"/>
                  </w:pPr>
                </w:p>
              </w:txbxContent>
            </v:textbox>
            <w10:wrap type="topAndBottom" anchorx="page"/>
          </v:shape>
        </w:pict>
      </w:r>
      <w:r w:rsidRPr="00CA7E61">
        <w:pict>
          <v:shape id="docshape11" o:spid="_x0000_s1033" type="#_x0000_t202" style="position:absolute;margin-left:11.3pt;margin-top:19.6pt;width:277.75pt;height:311.4pt;z-index:-15728128;mso-wrap-distance-left:0;mso-wrap-distance-right:0;mso-position-horizontal-relative:page" filled="f" strokeweight="1pt">
            <v:textbox style="mso-next-textbox:#docshape11" inset="0,0,0,0">
              <w:txbxContent>
                <w:p w:rsidR="001232DC" w:rsidRPr="001232DC" w:rsidRDefault="001232DC" w:rsidP="001232DC">
                  <w:pPr>
                    <w:pStyle w:val="Heading2"/>
                    <w:rPr>
                      <w:color w:val="000000" w:themeColor="text1"/>
                    </w:rPr>
                  </w:pPr>
                  <w:r w:rsidRPr="001232DC">
                    <w:rPr>
                      <w:color w:val="000000" w:themeColor="text1"/>
                    </w:rPr>
                    <w:t>Introduction</w:t>
                  </w:r>
                </w:p>
                <w:p w:rsidR="001232DC" w:rsidRDefault="001232DC" w:rsidP="001232DC">
                  <w:pPr>
                    <w:pStyle w:val="NormalWeb"/>
                    <w:jc w:val="both"/>
                  </w:pPr>
                  <w:r>
                    <w:t xml:space="preserve">Chronic pain is a pervasive and </w:t>
                  </w:r>
                  <w:r>
                    <w:rPr>
                      <w:rStyle w:val="citation-0"/>
                    </w:rPr>
                    <w:t>debilitating condition that affects millions of people worldwide. It is defined as pain that persists for three months or</w:t>
                  </w:r>
                  <w:r>
                    <w:t xml:space="preserve"> longer, significantly impairing a patient’s quality of life, function, and overall well-being. While the underlying causes of chronic pain are diverse, the impact on patients is often profound, leading to sleep disturbances, mood disorders, reduced physical activity. Primary care physicians are often the first point of contact for patients experiencing chronic pain. Their role in managing this complex condition is critical, as they are well-positioned to provide comprehensive care, coordinate treatment, and offer ongoing support. However, managing chronic pain effectively can be challenging due to its multifaceted nature, the lack of definitive diagnostic tests, and the limitations of available treatments. This guide aims to provide primary care physicians with a comprehensive framework for managing chronic pain in the primary care setting. It will address key aspects of pain assessment, diagnosis, and treatment, emphasizing a biopsychosocial approach. By implementing the strategies outlined in this guide, primary care physicians can improve pain management outcomes, enhance patient satisfaction, and optimize the use of healthcare resources.</w:t>
                  </w:r>
                </w:p>
                <w:p w:rsidR="002D7119" w:rsidRPr="002D7119" w:rsidRDefault="002D7119" w:rsidP="002D7119">
                  <w:pPr>
                    <w:spacing w:before="70"/>
                    <w:ind w:left="143"/>
                    <w:jc w:val="both"/>
                    <w:rPr>
                      <w:b/>
                      <w:sz w:val="28"/>
                    </w:rPr>
                  </w:pPr>
                  <w:r w:rsidRPr="009532D8">
                    <w:t>challenge</w:t>
                  </w:r>
                </w:p>
                <w:p w:rsidR="002D7119" w:rsidRDefault="002D7119">
                  <w:pPr>
                    <w:pStyle w:val="BodyText"/>
                    <w:spacing w:before="200"/>
                    <w:ind w:left="143" w:right="145"/>
                    <w:jc w:val="both"/>
                  </w:pPr>
                </w:p>
                <w:p w:rsidR="002D7119" w:rsidRDefault="002D7119">
                  <w:pPr>
                    <w:pStyle w:val="BodyText"/>
                    <w:spacing w:before="200"/>
                    <w:ind w:left="143" w:right="145"/>
                    <w:jc w:val="both"/>
                  </w:pPr>
                </w:p>
                <w:p w:rsidR="00E05513" w:rsidRDefault="00E05513">
                  <w:pPr>
                    <w:pStyle w:val="BodyText"/>
                    <w:spacing w:before="200"/>
                    <w:ind w:left="143" w:right="145"/>
                    <w:jc w:val="both"/>
                  </w:pPr>
                </w:p>
              </w:txbxContent>
            </v:textbox>
            <w10:wrap type="topAndBottom" anchorx="page"/>
          </v:shape>
        </w:pict>
      </w:r>
    </w:p>
    <w:p w:rsidR="0020726C" w:rsidRDefault="00CA7E61">
      <w:pPr>
        <w:pStyle w:val="BodyText"/>
        <w:spacing w:before="89" w:line="276" w:lineRule="auto"/>
        <w:ind w:left="364"/>
      </w:pPr>
      <w:r>
        <w:lastRenderedPageBreak/>
        <w:pict>
          <v:rect id="docshape13" o:spid="_x0000_s1031" style="position:absolute;left:0;text-align:left;margin-left:16.65pt;margin-top:46.75pt;width:273.5pt;height:706.1pt;z-index:-15812608;mso-position-horizontal-relative:page;mso-position-vertical-relative:page" filled="f">
            <w10:wrap anchorx="page" anchory="page"/>
          </v:rect>
        </w:pict>
      </w:r>
      <w:r>
        <w:pict>
          <v:rect id="docshape14" o:spid="_x0000_s1030" style="position:absolute;left:0;text-align:left;margin-left:302.15pt;margin-top:46.75pt;width:287.8pt;height:711.2pt;z-index:-15812096;mso-position-horizontal-relative:page;mso-position-vertical-relative:page" filled="f">
            <w10:wrap anchorx="page" anchory="page"/>
          </v:rect>
        </w:pict>
      </w:r>
      <w:r w:rsidR="00517E0C">
        <w:rPr>
          <w:b/>
          <w:color w:val="1F1F1F"/>
        </w:rPr>
        <w:t xml:space="preserve">Storage: </w:t>
      </w:r>
      <w:r w:rsidR="00517E0C">
        <w:t>Proper storage is essential to maintain the quality of the prepared bones. They should be stored in a dry, cool, and dark environment to prevent damagefromhumidity,temperaturefluctuations,and light exposure.</w:t>
      </w:r>
      <w:r w:rsidR="00517E0C">
        <w:rPr>
          <w:vertAlign w:val="superscript"/>
        </w:rPr>
        <w:t>4</w:t>
      </w:r>
    </w:p>
    <w:p w:rsidR="0020726C" w:rsidRDefault="00517E0C">
      <w:pPr>
        <w:spacing w:before="204"/>
        <w:ind w:left="364"/>
        <w:rPr>
          <w:b/>
          <w:sz w:val="24"/>
        </w:rPr>
      </w:pPr>
      <w:r>
        <w:rPr>
          <w:b/>
          <w:color w:val="1F1F1F"/>
          <w:sz w:val="24"/>
        </w:rPr>
        <w:t>ApplicationsofPreparedBone</w:t>
      </w:r>
      <w:r>
        <w:rPr>
          <w:b/>
          <w:color w:val="1F1F1F"/>
          <w:spacing w:val="-2"/>
          <w:sz w:val="24"/>
        </w:rPr>
        <w:t xml:space="preserve"> Specimens</w:t>
      </w:r>
    </w:p>
    <w:p w:rsidR="0020726C" w:rsidRDefault="00517E0C">
      <w:pPr>
        <w:pStyle w:val="BodyText"/>
        <w:spacing w:before="238" w:line="276" w:lineRule="auto"/>
        <w:ind w:left="364" w:right="91"/>
      </w:pPr>
      <w:r>
        <w:t>Prepared bone specimens from embalmed human cadaversservevariouspurposes,including</w:t>
      </w:r>
      <w:r>
        <w:rPr>
          <w:b/>
          <w:color w:val="1F1F1F"/>
        </w:rPr>
        <w:t xml:space="preserve">Medical Education. </w:t>
      </w:r>
      <w:r>
        <w:t>These specimens are used in anatomy labs to teach medical students and healthcare professionalsaboutthestructureandfunctionofthe human skeleton.</w:t>
      </w:r>
      <w:r>
        <w:rPr>
          <w:vertAlign w:val="superscript"/>
        </w:rPr>
        <w:t>5</w:t>
      </w:r>
    </w:p>
    <w:p w:rsidR="0020726C" w:rsidRDefault="00517E0C">
      <w:pPr>
        <w:pStyle w:val="BodyText"/>
        <w:spacing w:before="201" w:line="276" w:lineRule="auto"/>
        <w:ind w:left="364" w:right="91"/>
      </w:pPr>
      <w:r>
        <w:rPr>
          <w:b/>
          <w:color w:val="1F1F1F"/>
        </w:rPr>
        <w:t xml:space="preserve">Research: </w:t>
      </w:r>
      <w:r>
        <w:t>Researchers utilize bone specimens to study bone diseases, develop new surgical techniques,andinvestigatetheeffectsofagingand environmental factors on bone health.</w:t>
      </w:r>
    </w:p>
    <w:p w:rsidR="0020726C" w:rsidRDefault="00517E0C">
      <w:pPr>
        <w:pStyle w:val="BodyText"/>
        <w:spacing w:before="199" w:line="276" w:lineRule="auto"/>
        <w:ind w:left="364" w:right="91"/>
      </w:pPr>
      <w:r>
        <w:rPr>
          <w:b/>
          <w:color w:val="1F1F1F"/>
        </w:rPr>
        <w:t>ForensicAnthropology:</w:t>
      </w:r>
      <w:r>
        <w:t>Forensicanthropologists analyze bone specimens to identify individuals, determine the time and cause of death, and reconstruct past human populations.</w:t>
      </w:r>
    </w:p>
    <w:p w:rsidR="0020726C" w:rsidRDefault="0020726C">
      <w:pPr>
        <w:pStyle w:val="BodyText"/>
      </w:pPr>
    </w:p>
    <w:p w:rsidR="0020726C" w:rsidRDefault="0020726C">
      <w:pPr>
        <w:pStyle w:val="BodyText"/>
        <w:spacing w:before="171"/>
      </w:pPr>
    </w:p>
    <w:p w:rsidR="0020726C" w:rsidRDefault="00517E0C">
      <w:pPr>
        <w:ind w:left="364"/>
        <w:rPr>
          <w:b/>
          <w:sz w:val="24"/>
        </w:rPr>
      </w:pPr>
      <w:r>
        <w:rPr>
          <w:b/>
          <w:color w:val="1F1F1F"/>
          <w:sz w:val="24"/>
        </w:rPr>
        <w:t>Material</w:t>
      </w:r>
      <w:r>
        <w:rPr>
          <w:b/>
          <w:color w:val="1F1F1F"/>
          <w:spacing w:val="-2"/>
          <w:sz w:val="24"/>
        </w:rPr>
        <w:t>Methods:</w:t>
      </w:r>
    </w:p>
    <w:p w:rsidR="0020726C" w:rsidRDefault="00517E0C">
      <w:pPr>
        <w:pStyle w:val="BodyText"/>
        <w:spacing w:before="238" w:line="276" w:lineRule="auto"/>
        <w:ind w:left="364" w:right="41"/>
        <w:jc w:val="both"/>
      </w:pPr>
      <w:r>
        <w:t>Obtaining and preparing bones from embalmed human cadavers is a crucial step in various fields, including medical education, research, and forensic anthropology. I took a body (Embalmed Human Cadaver) from the Department of Anatomy, Ram Krishna Medical College Hospital and Research Centre, Bhopal, Madhya Pradesh.</w:t>
      </w:r>
    </w:p>
    <w:p w:rsidR="0020726C" w:rsidRDefault="00517E0C">
      <w:pPr>
        <w:pStyle w:val="BodyText"/>
        <w:spacing w:before="200" w:line="276" w:lineRule="auto"/>
        <w:ind w:left="364" w:right="43"/>
        <w:jc w:val="both"/>
      </w:pPr>
      <w:r>
        <w:t>This procedure involves a series of meticulous steps to effectively remove soft tissues, clean the bones, and preserve their integrity for various purposes.</w:t>
      </w:r>
    </w:p>
    <w:p w:rsidR="0020726C" w:rsidRDefault="00517E0C">
      <w:pPr>
        <w:pStyle w:val="ListParagraph"/>
        <w:numPr>
          <w:ilvl w:val="0"/>
          <w:numId w:val="3"/>
        </w:numPr>
        <w:tabs>
          <w:tab w:val="left" w:pos="1084"/>
        </w:tabs>
        <w:spacing w:before="200" w:line="276" w:lineRule="auto"/>
        <w:ind w:right="38"/>
        <w:jc w:val="both"/>
        <w:rPr>
          <w:sz w:val="24"/>
        </w:rPr>
      </w:pPr>
      <w:r>
        <w:rPr>
          <w:b/>
          <w:sz w:val="24"/>
        </w:rPr>
        <w:t xml:space="preserve">Maceration: </w:t>
      </w:r>
      <w:r>
        <w:rPr>
          <w:sz w:val="24"/>
        </w:rPr>
        <w:t>The initial step in bone preparation involves maceration, which is the process of softening and loosening the soft tissues adhering to the bones. This can be achieved using either enzymatic or chemical maceration methods.</w:t>
      </w:r>
      <w:r>
        <w:rPr>
          <w:sz w:val="24"/>
          <w:vertAlign w:val="superscript"/>
        </w:rPr>
        <w:t>6</w:t>
      </w:r>
    </w:p>
    <w:p w:rsidR="0020726C" w:rsidRDefault="00CA7E61">
      <w:pPr>
        <w:pStyle w:val="ListParagraph"/>
        <w:numPr>
          <w:ilvl w:val="1"/>
          <w:numId w:val="3"/>
        </w:numPr>
        <w:tabs>
          <w:tab w:val="left" w:pos="1444"/>
        </w:tabs>
        <w:spacing w:before="89" w:line="276" w:lineRule="auto"/>
        <w:ind w:right="589"/>
        <w:jc w:val="both"/>
        <w:rPr>
          <w:sz w:val="24"/>
        </w:rPr>
      </w:pPr>
      <w:r w:rsidRPr="00CA7E61">
        <w:rPr>
          <w:b/>
          <w:noProof/>
          <w:color w:val="1F1F1F"/>
        </w:rPr>
        <w:pict>
          <v:shape id="_x0000_s1046" type="#_x0000_t202" style="position:absolute;left:0;text-align:left;margin-left:-7.25pt;margin-top:22.75pt;width:617.95pt;height:24.45pt;z-index:487590912" fillcolor="#c00000">
            <v:textbox>
              <w:txbxContent>
                <w:p w:rsidR="00816E35" w:rsidRPr="00816E35" w:rsidRDefault="00816E35" w:rsidP="00816E35">
                  <w:pPr>
                    <w:jc w:val="center"/>
                    <w:rPr>
                      <w:sz w:val="16"/>
                    </w:rPr>
                  </w:pPr>
                  <w:r w:rsidRPr="00816E35">
                    <w:rPr>
                      <w:sz w:val="16"/>
                    </w:rPr>
                    <w:t>Website: www.JSCCR.ORG, JSCCR, ISSN E: xxxx-xxxx</w:t>
                  </w:r>
                  <w:r>
                    <w:rPr>
                      <w:sz w:val="16"/>
                    </w:rPr>
                    <w:t>, 2024, Volume 1, Issue 1, P:1-4</w:t>
                  </w:r>
                  <w:r w:rsidRPr="00816E35">
                    <w:rPr>
                      <w:sz w:val="16"/>
                    </w:rPr>
                    <w:t xml:space="preserve">, Journal for Stem Cell </w:t>
                  </w:r>
                  <w:r>
                    <w:rPr>
                      <w:sz w:val="16"/>
                    </w:rPr>
                    <w:t>And Clinical Research, Page No 2</w:t>
                  </w:r>
                </w:p>
              </w:txbxContent>
            </v:textbox>
          </v:shape>
        </w:pict>
      </w:r>
      <w:r w:rsidR="00517E0C">
        <w:br w:type="column"/>
      </w:r>
      <w:r w:rsidR="00517E0C">
        <w:rPr>
          <w:b/>
          <w:sz w:val="24"/>
        </w:rPr>
        <w:lastRenderedPageBreak/>
        <w:t xml:space="preserve">Enzymatic Maceration: </w:t>
      </w:r>
      <w:r w:rsidR="00517E0C">
        <w:rPr>
          <w:sz w:val="24"/>
        </w:rPr>
        <w:t>Prepare a maceration solution by dissolving appropriate enzymes in water. The specific enzymes used may vary depending on the type of soft tissue to be removed. Enzymatic maceration ofbones Place the cadaver in themaceration solution, ensuring that all partsofthebodyaresubmerged. Monitor the maceration process regularly, changing the solution as needed to maintain optimal enzyme activity. The maceration time may vary depending on thesizeandtypeofbones,butittypically ranges from 2 days to 8 weeks.</w:t>
      </w:r>
    </w:p>
    <w:p w:rsidR="0020726C" w:rsidRDefault="00517E0C">
      <w:pPr>
        <w:pStyle w:val="ListParagraph"/>
        <w:numPr>
          <w:ilvl w:val="1"/>
          <w:numId w:val="3"/>
        </w:numPr>
        <w:tabs>
          <w:tab w:val="left" w:pos="1444"/>
        </w:tabs>
        <w:spacing w:line="276" w:lineRule="auto"/>
        <w:ind w:right="588"/>
        <w:jc w:val="both"/>
        <w:rPr>
          <w:sz w:val="24"/>
        </w:rPr>
      </w:pPr>
      <w:r>
        <w:rPr>
          <w:b/>
          <w:sz w:val="24"/>
        </w:rPr>
        <w:t xml:space="preserve">Chemical Maceration: </w:t>
      </w:r>
      <w:r>
        <w:rPr>
          <w:sz w:val="24"/>
        </w:rPr>
        <w:t xml:space="preserve">Prepare a maceration solution by mixing waterwith a detergent or a combination of chemicals, such as sodium hydroxide (NaOH) and potassium hydroxide (KOH). Maceration of bones place the cadaver in the maceration solution, ensuring that all parts of the body are submerged. Monitor the maceration process regularly, changing the solution asneeded.Themacerationtimemayvary depending on the size and type of bones, but it typically ranges from 2 days to 8 </w:t>
      </w:r>
      <w:r>
        <w:rPr>
          <w:spacing w:val="-2"/>
          <w:sz w:val="24"/>
        </w:rPr>
        <w:t>weeks.</w:t>
      </w:r>
      <w:r>
        <w:rPr>
          <w:spacing w:val="-2"/>
          <w:sz w:val="24"/>
          <w:vertAlign w:val="superscript"/>
        </w:rPr>
        <w:t>7</w:t>
      </w:r>
    </w:p>
    <w:p w:rsidR="0020726C" w:rsidRDefault="00517E0C">
      <w:pPr>
        <w:pStyle w:val="ListParagraph"/>
        <w:numPr>
          <w:ilvl w:val="0"/>
          <w:numId w:val="3"/>
        </w:numPr>
        <w:tabs>
          <w:tab w:val="left" w:pos="724"/>
        </w:tabs>
        <w:spacing w:before="199"/>
        <w:ind w:left="724" w:right="589"/>
        <w:jc w:val="both"/>
        <w:rPr>
          <w:sz w:val="24"/>
        </w:rPr>
      </w:pPr>
      <w:r>
        <w:rPr>
          <w:b/>
          <w:sz w:val="24"/>
        </w:rPr>
        <w:t xml:space="preserve">Boiling: </w:t>
      </w:r>
      <w:r>
        <w:rPr>
          <w:sz w:val="24"/>
        </w:rPr>
        <w:t>Once the maceration process has sufficiently softened the soft tissues, the bones are removed from the maceration solution and rinsed thoroughly with water to remove any residual chemicals or enzymes. Place the bones in a pot of boiling water. Boil the bones for 30- 60 minutes, depending on the size and type of bones.Boilinghelpstofurtherremovesofttissue and sterilize the bones.</w:t>
      </w:r>
    </w:p>
    <w:p w:rsidR="0020726C" w:rsidRDefault="00517E0C">
      <w:pPr>
        <w:pStyle w:val="ListParagraph"/>
        <w:numPr>
          <w:ilvl w:val="0"/>
          <w:numId w:val="3"/>
        </w:numPr>
        <w:tabs>
          <w:tab w:val="left" w:pos="724"/>
        </w:tabs>
        <w:spacing w:before="3" w:line="276" w:lineRule="auto"/>
        <w:ind w:left="724" w:right="587"/>
        <w:jc w:val="both"/>
        <w:rPr>
          <w:sz w:val="24"/>
        </w:rPr>
      </w:pPr>
      <w:r>
        <w:rPr>
          <w:b/>
          <w:sz w:val="24"/>
        </w:rPr>
        <w:t xml:space="preserve">Bleaching: </w:t>
      </w:r>
      <w:r>
        <w:rPr>
          <w:sz w:val="24"/>
        </w:rPr>
        <w:t>After boiling, the bones are allowed to cool completely before proceeding with bleaching. Prepare a bleaching solution by mixing hydrogen peroxide with water. The concentration of hydrogen peroxide may vary depending on the desired level of bleaching. Submergethebonesinthebleachingsolutionfor</w:t>
      </w:r>
    </w:p>
    <w:p w:rsidR="0020726C" w:rsidRDefault="0020726C">
      <w:pPr>
        <w:spacing w:line="276" w:lineRule="auto"/>
        <w:jc w:val="both"/>
        <w:rPr>
          <w:sz w:val="24"/>
        </w:rPr>
        <w:sectPr w:rsidR="0020726C">
          <w:pgSz w:w="12240" w:h="15840"/>
          <w:pgMar w:top="920" w:right="0" w:bottom="500" w:left="120" w:header="0" w:footer="257" w:gutter="0"/>
          <w:cols w:num="2" w:space="720" w:equalWidth="0">
            <w:col w:w="5574" w:space="497"/>
            <w:col w:w="6049"/>
          </w:cols>
        </w:sectPr>
      </w:pPr>
    </w:p>
    <w:p w:rsidR="0020726C" w:rsidRDefault="00CA7E61">
      <w:pPr>
        <w:pStyle w:val="BodyText"/>
        <w:spacing w:before="77" w:line="276" w:lineRule="auto"/>
        <w:ind w:left="1202" w:right="1"/>
        <w:jc w:val="both"/>
      </w:pPr>
      <w:r>
        <w:lastRenderedPageBreak/>
        <w:pict>
          <v:rect id="docshape18" o:spid="_x0000_s1029" style="position:absolute;left:0;text-align:left;margin-left:22.55pt;margin-top:43.2pt;width:273.5pt;height:710.2pt;z-index:-15811584;mso-position-horizontal-relative:page;mso-position-vertical-relative:page" filled="f">
            <w10:wrap anchorx="page" anchory="page"/>
          </v:rect>
        </w:pict>
      </w:r>
      <w:r>
        <w:pict>
          <v:rect id="docshape19" o:spid="_x0000_s1028" style="position:absolute;left:0;text-align:left;margin-left:308.05pt;margin-top:43.2pt;width:273.5pt;height:717.6pt;z-index:-15811072;mso-position-horizontal-relative:page;mso-position-vertical-relative:page" filled="f">
            <w10:wrap anchorx="page" anchory="page"/>
          </v:rect>
        </w:pict>
      </w:r>
      <w:r w:rsidR="00517E0C">
        <w:t>1-2 hours. Bleaching helps to whiten and brighten the bones, enhancing their visibility and providing a clearer view of their anatomical features.</w:t>
      </w:r>
    </w:p>
    <w:p w:rsidR="0020726C" w:rsidRDefault="00517E0C">
      <w:pPr>
        <w:pStyle w:val="ListParagraph"/>
        <w:numPr>
          <w:ilvl w:val="0"/>
          <w:numId w:val="3"/>
        </w:numPr>
        <w:tabs>
          <w:tab w:val="left" w:pos="1200"/>
          <w:tab w:val="left" w:pos="1202"/>
        </w:tabs>
        <w:spacing w:before="1" w:line="276" w:lineRule="auto"/>
        <w:ind w:left="1202" w:right="1" w:hanging="361"/>
        <w:jc w:val="both"/>
        <w:rPr>
          <w:sz w:val="24"/>
        </w:rPr>
      </w:pPr>
      <w:r>
        <w:rPr>
          <w:b/>
          <w:sz w:val="24"/>
        </w:rPr>
        <w:t xml:space="preserve">Degreasing: </w:t>
      </w:r>
      <w:r>
        <w:rPr>
          <w:sz w:val="24"/>
        </w:rPr>
        <w:t>To remove any remaining fatand oils that may affect the preservation ofthe bones, they are degreased using a solvent like acetone or ethanol. Remove the bones from the bleaching solution and rinse them thoroughly with water. Place the bones in a container of acetone or ethanol. Degreasing removes any remaining fat and oils that may affect the preservation of the bones.</w:t>
      </w:r>
      <w:r>
        <w:rPr>
          <w:sz w:val="24"/>
          <w:vertAlign w:val="superscript"/>
        </w:rPr>
        <w:t>8</w:t>
      </w:r>
    </w:p>
    <w:p w:rsidR="0020726C" w:rsidRDefault="00517E0C">
      <w:pPr>
        <w:pStyle w:val="ListParagraph"/>
        <w:numPr>
          <w:ilvl w:val="0"/>
          <w:numId w:val="3"/>
        </w:numPr>
        <w:tabs>
          <w:tab w:val="left" w:pos="1200"/>
          <w:tab w:val="left" w:pos="1202"/>
        </w:tabs>
        <w:spacing w:line="276" w:lineRule="auto"/>
        <w:ind w:left="1202" w:hanging="361"/>
        <w:jc w:val="both"/>
        <w:rPr>
          <w:sz w:val="24"/>
        </w:rPr>
      </w:pPr>
      <w:r>
        <w:rPr>
          <w:b/>
          <w:sz w:val="24"/>
        </w:rPr>
        <w:t xml:space="preserve">Drying: </w:t>
      </w:r>
      <w:r>
        <w:rPr>
          <w:sz w:val="24"/>
        </w:rPr>
        <w:t>Once the degreasing process is complete, the bones are dried to prevent moisture damage and preserve their integrity. Remove the bones from the degreasing solution. Allow the bones to air-dry completely. Alternatively, you can use a dehydrator to dry the bones more quickly</w:t>
      </w:r>
      <w:r>
        <w:rPr>
          <w:sz w:val="24"/>
          <w:vertAlign w:val="superscript"/>
        </w:rPr>
        <w:t>15</w:t>
      </w:r>
    </w:p>
    <w:p w:rsidR="0020726C" w:rsidRDefault="00517E0C">
      <w:pPr>
        <w:pStyle w:val="ListParagraph"/>
        <w:numPr>
          <w:ilvl w:val="0"/>
          <w:numId w:val="3"/>
        </w:numPr>
        <w:tabs>
          <w:tab w:val="left" w:pos="1200"/>
          <w:tab w:val="left" w:pos="1202"/>
        </w:tabs>
        <w:spacing w:before="1" w:line="276" w:lineRule="auto"/>
        <w:ind w:left="1202" w:right="1" w:hanging="361"/>
        <w:jc w:val="both"/>
        <w:rPr>
          <w:sz w:val="24"/>
        </w:rPr>
      </w:pPr>
      <w:r>
        <w:rPr>
          <w:b/>
          <w:sz w:val="24"/>
        </w:rPr>
        <w:t xml:space="preserve">Storage: </w:t>
      </w:r>
      <w:r>
        <w:rPr>
          <w:sz w:val="24"/>
        </w:rPr>
        <w:t>Proper storage is crucial for maintainingthequalityofthe preparedbones. Theyshould be stored in a dry, cool, and dark environment to prevent damage from humidity, temperature fluctuations, and light exposure.</w:t>
      </w:r>
      <w:r>
        <w:rPr>
          <w:sz w:val="24"/>
          <w:vertAlign w:val="superscript"/>
        </w:rPr>
        <w:t>17</w:t>
      </w:r>
      <w:r>
        <w:rPr>
          <w:sz w:val="24"/>
        </w:rPr>
        <w:t xml:space="preserve"> Transfer the dried bones tostorage containers. Label the containers with thedonorinformationanddateofpreparation. Store the containers in a secure location, such as a laboratory or anatomical teaching </w:t>
      </w:r>
      <w:r>
        <w:rPr>
          <w:spacing w:val="-2"/>
          <w:sz w:val="24"/>
        </w:rPr>
        <w:t>facility.</w:t>
      </w:r>
      <w:r>
        <w:rPr>
          <w:spacing w:val="-2"/>
          <w:sz w:val="24"/>
          <w:vertAlign w:val="superscript"/>
        </w:rPr>
        <w:t>9</w:t>
      </w:r>
    </w:p>
    <w:p w:rsidR="0020726C" w:rsidRDefault="00517E0C">
      <w:pPr>
        <w:pStyle w:val="BodyText"/>
        <w:spacing w:before="200" w:line="276" w:lineRule="auto"/>
        <w:ind w:left="482"/>
        <w:rPr>
          <w:b/>
          <w:sz w:val="28"/>
        </w:rPr>
      </w:pPr>
      <w:r>
        <w:rPr>
          <w:b/>
        </w:rPr>
        <w:t xml:space="preserve">Additional Notes: </w:t>
      </w:r>
      <w:r>
        <w:t xml:space="preserve">Throughout the entire bone preparationprocess,itisessentialtowearglovesand goggles to protect yourself from harmful chemicals and fluids. Use caution when handling boiling water and sharp bones. Dispose of all waste materials, including maceration solutions, bleaching solutions, and degreasing solvents, in accordance with local r </w:t>
      </w:r>
      <w:r>
        <w:rPr>
          <w:b/>
          <w:spacing w:val="-2"/>
          <w:sz w:val="28"/>
        </w:rPr>
        <w:t>Discussion:</w:t>
      </w:r>
    </w:p>
    <w:p w:rsidR="0020726C" w:rsidRDefault="00517E0C">
      <w:pPr>
        <w:pStyle w:val="BodyText"/>
        <w:spacing w:before="200" w:line="276" w:lineRule="auto"/>
        <w:ind w:left="482" w:right="4"/>
        <w:jc w:val="both"/>
      </w:pPr>
      <w:r>
        <w:t>The authors discuss the importance of careful attention to detail throughout the bone preparation process. They emphasize the need to use proper personalprotectiveequipment,suchasgloves</w:t>
      </w:r>
      <w:r>
        <w:rPr>
          <w:spacing w:val="-5"/>
        </w:rPr>
        <w:t>and</w:t>
      </w:r>
    </w:p>
    <w:p w:rsidR="0020726C" w:rsidRDefault="00CA7E61">
      <w:pPr>
        <w:pStyle w:val="BodyText"/>
        <w:spacing w:before="77" w:line="276" w:lineRule="auto"/>
        <w:ind w:left="482" w:right="830"/>
      </w:pPr>
      <w:r w:rsidRPr="00CA7E61">
        <w:rPr>
          <w:b/>
          <w:noProof/>
          <w:color w:val="1F1F1F"/>
          <w:sz w:val="28"/>
        </w:rPr>
        <w:pict>
          <v:shape id="_x0000_s1047" type="#_x0000_t202" style="position:absolute;left:0;text-align:left;margin-left:-7.25pt;margin-top:15.8pt;width:611.95pt;height:24.45pt;z-index:487591936" fillcolor="#c00000">
            <v:textbox>
              <w:txbxContent>
                <w:p w:rsidR="00816E35" w:rsidRPr="00816E35" w:rsidRDefault="00816E35" w:rsidP="00816E35">
                  <w:pPr>
                    <w:jc w:val="center"/>
                    <w:rPr>
                      <w:sz w:val="16"/>
                    </w:rPr>
                  </w:pPr>
                  <w:r w:rsidRPr="00816E35">
                    <w:rPr>
                      <w:sz w:val="16"/>
                    </w:rPr>
                    <w:t>Website: www.JSCCR.ORG, JSCCR, ISSN E: xxxx-xxxx</w:t>
                  </w:r>
                  <w:r>
                    <w:rPr>
                      <w:sz w:val="16"/>
                    </w:rPr>
                    <w:t>, 2024, Volume 1, Issue 1, P:1-4</w:t>
                  </w:r>
                  <w:r w:rsidRPr="00816E35">
                    <w:rPr>
                      <w:sz w:val="16"/>
                    </w:rPr>
                    <w:t xml:space="preserve">, Journal for Stem Cell </w:t>
                  </w:r>
                  <w:r>
                    <w:rPr>
                      <w:sz w:val="16"/>
                    </w:rPr>
                    <w:t>And Clinical Research, Page No 3</w:t>
                  </w:r>
                </w:p>
              </w:txbxContent>
            </v:textbox>
          </v:shape>
        </w:pict>
      </w:r>
      <w:r w:rsidR="00517E0C">
        <w:br w:type="column"/>
      </w:r>
      <w:r w:rsidR="00517E0C">
        <w:lastRenderedPageBreak/>
        <w:t>goggles, to protect oneself from harmful chemicals andfluids.Theyalsoemphasizetheneedtodispose of all waste materials in accordance with local regulations. The authors also discuss the ethical considerations involved in the preparation of bones from embalmed human cadavers. They emphasize the importance of obtaining proper consent from donors or their families and of treating human remainswithrespect.Thefollowingjournalarticles provide additional information on bone preparation from embalmed human cadavers:</w:t>
      </w:r>
    </w:p>
    <w:p w:rsidR="0020726C" w:rsidRDefault="00517E0C">
      <w:pPr>
        <w:pStyle w:val="BodyText"/>
        <w:spacing w:before="205" w:line="276" w:lineRule="auto"/>
        <w:ind w:left="482" w:right="778"/>
      </w:pPr>
      <w:r>
        <w:rPr>
          <w:b/>
          <w:color w:val="1F1F1F"/>
          <w:sz w:val="28"/>
        </w:rPr>
        <w:t>Ethical Considerations:</w:t>
      </w:r>
      <w:r>
        <w:t>The preparation of bones from embalmed human cadavers raises ethical concernsregardingtherespectfultreatmentofhuman remainsandobtainingproperconsentfromdonorsor their families. Ethical guidelines and regulations govern the procurement, handling, and storage of human anatomical specimens.</w:t>
      </w:r>
      <w:r>
        <w:rPr>
          <w:vertAlign w:val="superscript"/>
        </w:rPr>
        <w:t>16</w:t>
      </w:r>
    </w:p>
    <w:p w:rsidR="0020726C" w:rsidRDefault="00517E0C">
      <w:pPr>
        <w:pStyle w:val="BodyText"/>
        <w:spacing w:before="200" w:line="276" w:lineRule="auto"/>
        <w:ind w:left="482" w:right="829"/>
      </w:pPr>
      <w:r>
        <w:rPr>
          <w:b/>
          <w:color w:val="1F1F1F"/>
          <w:sz w:val="28"/>
        </w:rPr>
        <w:t>Conclusion:</w:t>
      </w:r>
      <w:r>
        <w:t>The preparation of bones from embalmedhumancadaversisacomplexanddelicate process that requires careful attention to detail and adherencetoethicalguidelines.Thesepreparedbone specimens serve invaluable educational, research, andforensicpurposes,providinginsightsintohuman anatomy, health, and history.</w:t>
      </w:r>
    </w:p>
    <w:p w:rsidR="0020726C" w:rsidRDefault="0020726C">
      <w:pPr>
        <w:spacing w:line="276" w:lineRule="auto"/>
        <w:sectPr w:rsidR="0020726C">
          <w:footerReference w:type="default" r:id="rId11"/>
          <w:pgSz w:w="12240" w:h="15840"/>
          <w:pgMar w:top="860" w:right="0" w:bottom="420" w:left="120" w:header="0" w:footer="227" w:gutter="0"/>
          <w:pgNumType w:start="3"/>
          <w:cols w:num="2" w:space="720" w:equalWidth="0">
            <w:col w:w="5653" w:space="57"/>
            <w:col w:w="6410"/>
          </w:cols>
        </w:sectPr>
      </w:pPr>
    </w:p>
    <w:p w:rsidR="0020726C" w:rsidRDefault="00CA7E61">
      <w:pPr>
        <w:pStyle w:val="ListParagraph"/>
        <w:numPr>
          <w:ilvl w:val="0"/>
          <w:numId w:val="2"/>
        </w:numPr>
        <w:tabs>
          <w:tab w:val="left" w:pos="972"/>
        </w:tabs>
        <w:spacing w:before="85" w:line="276" w:lineRule="auto"/>
        <w:ind w:right="12"/>
        <w:rPr>
          <w:sz w:val="24"/>
        </w:rPr>
      </w:pPr>
      <w:r w:rsidRPr="00CA7E61">
        <w:lastRenderedPageBreak/>
        <w:pict>
          <v:rect id="docshape20" o:spid="_x0000_s1027" style="position:absolute;left:0;text-align:left;margin-left:310.3pt;margin-top:55.2pt;width:273.5pt;height:681.5pt;z-index:-15810560;mso-position-horizontal-relative:page;mso-position-vertical-relative:page" filled="f">
            <w10:wrap anchorx="page" anchory="page"/>
          </v:rect>
        </w:pict>
      </w:r>
      <w:r w:rsidRPr="00CA7E61">
        <w:pict>
          <v:rect id="docshape21" o:spid="_x0000_s1026" style="position:absolute;left:0;text-align:left;margin-left:29.05pt;margin-top:54.5pt;width:273.5pt;height:682.2pt;z-index:-15810048;mso-position-horizontal-relative:page;mso-position-vertical-relative:page" filled="f">
            <w10:wrap anchorx="page" anchory="page"/>
          </v:rect>
        </w:pict>
      </w:r>
      <w:r w:rsidR="00517E0C">
        <w:rPr>
          <w:sz w:val="24"/>
        </w:rPr>
        <w:t>Modi BS, Puri N, Patnaik V. Evaluation of techniquesforcleaningembalmedcadaverbones. Int J Anat Res 2014; 2:810 3.</w:t>
      </w:r>
    </w:p>
    <w:p w:rsidR="0020726C" w:rsidRDefault="00517E0C">
      <w:pPr>
        <w:pStyle w:val="ListParagraph"/>
        <w:numPr>
          <w:ilvl w:val="0"/>
          <w:numId w:val="2"/>
        </w:numPr>
        <w:tabs>
          <w:tab w:val="left" w:pos="972"/>
        </w:tabs>
        <w:spacing w:line="276" w:lineRule="auto"/>
        <w:ind w:right="167"/>
        <w:rPr>
          <w:sz w:val="24"/>
        </w:rPr>
      </w:pPr>
      <w:r>
        <w:rPr>
          <w:sz w:val="24"/>
        </w:rPr>
        <w:t>AjayiA,EdjomariegweO,IselaiyeO.Areview of bone preparation techniques for anatomical studies. Malaya J Biosci 2016; 3:76 80.</w:t>
      </w:r>
    </w:p>
    <w:p w:rsidR="0020726C" w:rsidRDefault="00517E0C">
      <w:pPr>
        <w:pStyle w:val="ListParagraph"/>
        <w:numPr>
          <w:ilvl w:val="0"/>
          <w:numId w:val="2"/>
        </w:numPr>
        <w:tabs>
          <w:tab w:val="left" w:pos="972"/>
        </w:tabs>
        <w:spacing w:line="276" w:lineRule="auto"/>
        <w:ind w:right="12"/>
        <w:rPr>
          <w:sz w:val="24"/>
        </w:rPr>
      </w:pPr>
      <w:r>
        <w:rPr>
          <w:sz w:val="24"/>
        </w:rPr>
        <w:t>CouseT,ConnorM.Acomparisonofmaceration techniques for use in forensic skeletal preparations. J Forensic Investig 2015; 3: 1 6.</w:t>
      </w:r>
    </w:p>
    <w:p w:rsidR="0020726C" w:rsidRDefault="00517E0C">
      <w:pPr>
        <w:pStyle w:val="ListParagraph"/>
        <w:numPr>
          <w:ilvl w:val="0"/>
          <w:numId w:val="2"/>
        </w:numPr>
        <w:tabs>
          <w:tab w:val="left" w:pos="972"/>
        </w:tabs>
        <w:spacing w:line="276" w:lineRule="auto"/>
        <w:ind w:right="12"/>
        <w:rPr>
          <w:sz w:val="24"/>
        </w:rPr>
      </w:pPr>
      <w:r>
        <w:rPr>
          <w:sz w:val="24"/>
        </w:rPr>
        <w:t>TobiasPV.Onthescientific,medical,dentaland educational value of collections of human skeletons. Int J Anthropol 1991; 6:277 80.</w:t>
      </w:r>
    </w:p>
    <w:p w:rsidR="0020726C" w:rsidRDefault="00517E0C">
      <w:pPr>
        <w:pStyle w:val="ListParagraph"/>
        <w:numPr>
          <w:ilvl w:val="0"/>
          <w:numId w:val="2"/>
        </w:numPr>
        <w:tabs>
          <w:tab w:val="left" w:pos="972"/>
        </w:tabs>
        <w:spacing w:line="276" w:lineRule="auto"/>
        <w:ind w:right="108"/>
        <w:rPr>
          <w:sz w:val="24"/>
        </w:rPr>
      </w:pPr>
      <w:r>
        <w:rPr>
          <w:sz w:val="24"/>
        </w:rPr>
        <w:t>Triaca A, Mahon TJ, Myburgh J. A comparison of different maceration techniques on burnt remains. J Forensic Sci. 2022 Mar; 67:676-682. doi:10.1111/1556-4029.14939.Epub2021Nov</w:t>
      </w:r>
    </w:p>
    <w:p w:rsidR="0020726C" w:rsidRDefault="00517E0C">
      <w:pPr>
        <w:pStyle w:val="BodyText"/>
        <w:ind w:left="972"/>
      </w:pPr>
      <w:r>
        <w:t>7.PMID:</w:t>
      </w:r>
      <w:r>
        <w:rPr>
          <w:spacing w:val="-2"/>
        </w:rPr>
        <w:t xml:space="preserve"> 34747030.</w:t>
      </w:r>
    </w:p>
    <w:p w:rsidR="0020726C" w:rsidRDefault="00517E0C">
      <w:pPr>
        <w:pStyle w:val="ListParagraph"/>
        <w:numPr>
          <w:ilvl w:val="0"/>
          <w:numId w:val="2"/>
        </w:numPr>
        <w:tabs>
          <w:tab w:val="left" w:pos="972"/>
        </w:tabs>
        <w:spacing w:before="42" w:line="276" w:lineRule="auto"/>
        <w:ind w:right="8"/>
        <w:rPr>
          <w:sz w:val="24"/>
        </w:rPr>
      </w:pPr>
      <w:r>
        <w:rPr>
          <w:sz w:val="24"/>
        </w:rPr>
        <w:t>FentonTW,BirkbyWH,CornelisonJ.Afastand safe non bleaching method for forensic skeletal preparation. J Forensic Sci 2003; 48:274 6.</w:t>
      </w:r>
    </w:p>
    <w:p w:rsidR="0020726C" w:rsidRDefault="00517E0C">
      <w:pPr>
        <w:pStyle w:val="ListParagraph"/>
        <w:numPr>
          <w:ilvl w:val="0"/>
          <w:numId w:val="2"/>
        </w:numPr>
        <w:tabs>
          <w:tab w:val="left" w:pos="972"/>
        </w:tabs>
        <w:spacing w:line="276" w:lineRule="auto"/>
        <w:ind w:right="1"/>
        <w:rPr>
          <w:sz w:val="24"/>
        </w:rPr>
      </w:pPr>
      <w:r>
        <w:rPr>
          <w:sz w:val="24"/>
        </w:rPr>
        <w:t>Rennick SL, Fenton TW, Foran DR. The eff ects of skeletal preparation techniques on DNA from humanandnonhumanbone.JForensicSci2005; 50:1016 9.</w:t>
      </w:r>
    </w:p>
    <w:p w:rsidR="0020726C" w:rsidRDefault="00517E0C">
      <w:pPr>
        <w:pStyle w:val="ListParagraph"/>
        <w:numPr>
          <w:ilvl w:val="0"/>
          <w:numId w:val="2"/>
        </w:numPr>
        <w:tabs>
          <w:tab w:val="left" w:pos="972"/>
        </w:tabs>
        <w:spacing w:line="276" w:lineRule="auto"/>
        <w:ind w:right="323"/>
        <w:rPr>
          <w:sz w:val="24"/>
        </w:rPr>
      </w:pPr>
      <w:r>
        <w:rPr>
          <w:sz w:val="24"/>
        </w:rPr>
        <w:t>Aggarwal N, Gupta M, Goyal PK, Kaur J. An alternativeapproachtobonecleaningmethods for anatomical purposes. Int J Anat Res 2016; 4:2216 21.</w:t>
      </w:r>
    </w:p>
    <w:p w:rsidR="0020726C" w:rsidRDefault="00517E0C">
      <w:pPr>
        <w:pStyle w:val="ListParagraph"/>
        <w:numPr>
          <w:ilvl w:val="0"/>
          <w:numId w:val="2"/>
        </w:numPr>
        <w:tabs>
          <w:tab w:val="left" w:pos="972"/>
        </w:tabs>
        <w:spacing w:line="276" w:lineRule="auto"/>
        <w:ind w:right="103"/>
        <w:rPr>
          <w:sz w:val="24"/>
        </w:rPr>
      </w:pPr>
      <w:r>
        <w:rPr>
          <w:sz w:val="24"/>
        </w:rPr>
        <w:t xml:space="preserve">Soni A, Kumar A, Sharma A, Vohra H. Comparison of maceration techniques for retrievalofbones.JAnatSocIndia2021;70:93- </w:t>
      </w:r>
      <w:r>
        <w:rPr>
          <w:spacing w:val="-6"/>
          <w:sz w:val="24"/>
        </w:rPr>
        <w:t>6.</w:t>
      </w:r>
    </w:p>
    <w:p w:rsidR="0020726C" w:rsidRDefault="00517E0C">
      <w:pPr>
        <w:pStyle w:val="ListParagraph"/>
        <w:numPr>
          <w:ilvl w:val="0"/>
          <w:numId w:val="2"/>
        </w:numPr>
        <w:tabs>
          <w:tab w:val="left" w:pos="972"/>
        </w:tabs>
        <w:spacing w:line="276" w:lineRule="auto"/>
        <w:rPr>
          <w:sz w:val="24"/>
        </w:rPr>
      </w:pPr>
      <w:r>
        <w:rPr>
          <w:sz w:val="24"/>
        </w:rPr>
        <w:t>EriksenA.M,SimonsenK.P,andRasmussenA.R (2013). Conservation of mitochondrial DNA in fast enzyme-macerated skeletal material, International Journal of Conservation Science, 4</w:t>
      </w:r>
    </w:p>
    <w:p w:rsidR="0020726C" w:rsidRDefault="00517E0C">
      <w:pPr>
        <w:pStyle w:val="BodyText"/>
        <w:ind w:left="972"/>
      </w:pPr>
      <w:r>
        <w:t>(2);127-</w:t>
      </w:r>
      <w:r>
        <w:rPr>
          <w:spacing w:val="-5"/>
        </w:rPr>
        <w:t>132</w:t>
      </w:r>
    </w:p>
    <w:p w:rsidR="002D7119" w:rsidRDefault="002D7119">
      <w:pPr>
        <w:pStyle w:val="Heading1"/>
        <w:spacing w:before="101"/>
        <w:ind w:left="434"/>
        <w:rPr>
          <w:b w:val="0"/>
        </w:rPr>
      </w:pPr>
    </w:p>
    <w:p w:rsidR="002D7119" w:rsidRDefault="002D7119">
      <w:pPr>
        <w:pStyle w:val="Heading1"/>
        <w:spacing w:before="101"/>
        <w:ind w:left="434"/>
        <w:rPr>
          <w:b w:val="0"/>
        </w:rPr>
      </w:pPr>
    </w:p>
    <w:p w:rsidR="002D7119" w:rsidRDefault="002D7119">
      <w:pPr>
        <w:pStyle w:val="Heading1"/>
        <w:spacing w:before="101"/>
        <w:ind w:left="434"/>
        <w:rPr>
          <w:b w:val="0"/>
        </w:rPr>
      </w:pPr>
    </w:p>
    <w:p w:rsidR="002D7119" w:rsidRDefault="002D7119">
      <w:pPr>
        <w:pStyle w:val="Heading1"/>
        <w:spacing w:before="101"/>
        <w:ind w:left="434"/>
        <w:rPr>
          <w:b w:val="0"/>
        </w:rPr>
      </w:pPr>
    </w:p>
    <w:p w:rsidR="002D7119" w:rsidRDefault="002D7119">
      <w:pPr>
        <w:pStyle w:val="Heading1"/>
        <w:spacing w:before="101"/>
        <w:ind w:left="434"/>
        <w:rPr>
          <w:b w:val="0"/>
        </w:rPr>
      </w:pPr>
    </w:p>
    <w:p w:rsidR="0020726C" w:rsidRDefault="00CA7E61">
      <w:pPr>
        <w:pStyle w:val="Heading1"/>
        <w:spacing w:before="101"/>
        <w:ind w:left="434"/>
      </w:pPr>
      <w:r w:rsidRPr="00CA7E61">
        <w:rPr>
          <w:noProof/>
          <w:sz w:val="24"/>
        </w:rPr>
        <w:pict>
          <v:shape id="_x0000_s1048" type="#_x0000_t202" style="position:absolute;left:0;text-align:left;margin-left:-7pt;margin-top:37.45pt;width:630.1pt;height:34.85pt;z-index:487592960" fillcolor="#c00000">
            <v:textbox>
              <w:txbxContent>
                <w:p w:rsidR="00816E35" w:rsidRPr="00816E35" w:rsidRDefault="00816E35" w:rsidP="00816E35">
                  <w:pPr>
                    <w:jc w:val="center"/>
                    <w:rPr>
                      <w:sz w:val="16"/>
                    </w:rPr>
                  </w:pPr>
                  <w:r w:rsidRPr="00816E35">
                    <w:rPr>
                      <w:sz w:val="16"/>
                    </w:rPr>
                    <w:t>Website: www.JSCCR.ORG, JSCCR, ISSN E: xxxx-xxxx</w:t>
                  </w:r>
                  <w:r>
                    <w:rPr>
                      <w:sz w:val="16"/>
                    </w:rPr>
                    <w:t>, 2024, Volume 1, Issue 1, P:1-4</w:t>
                  </w:r>
                  <w:r w:rsidRPr="00816E35">
                    <w:rPr>
                      <w:sz w:val="16"/>
                    </w:rPr>
                    <w:t xml:space="preserve">, Journal for Stem Cell </w:t>
                  </w:r>
                  <w:r>
                    <w:rPr>
                      <w:sz w:val="16"/>
                    </w:rPr>
                    <w:t>And Clinical Research, Page No 4</w:t>
                  </w:r>
                </w:p>
              </w:txbxContent>
            </v:textbox>
          </v:shape>
        </w:pict>
      </w:r>
      <w:r w:rsidR="00517E0C">
        <w:rPr>
          <w:b w:val="0"/>
        </w:rPr>
        <w:br w:type="column"/>
      </w:r>
      <w:r w:rsidR="00517E0C">
        <w:rPr>
          <w:spacing w:val="-2"/>
        </w:rPr>
        <w:lastRenderedPageBreak/>
        <w:t>References:</w:t>
      </w:r>
    </w:p>
    <w:p w:rsidR="0020726C" w:rsidRDefault="00517E0C">
      <w:pPr>
        <w:pStyle w:val="ListParagraph"/>
        <w:numPr>
          <w:ilvl w:val="0"/>
          <w:numId w:val="1"/>
        </w:numPr>
        <w:tabs>
          <w:tab w:val="left" w:pos="795"/>
        </w:tabs>
        <w:spacing w:before="1" w:line="276" w:lineRule="auto"/>
        <w:ind w:right="1387"/>
        <w:jc w:val="both"/>
        <w:rPr>
          <w:sz w:val="24"/>
        </w:rPr>
      </w:pPr>
      <w:r>
        <w:rPr>
          <w:sz w:val="24"/>
        </w:rPr>
        <w:t>Christensen, A.M and Myers, S.W (2011). Macroscopic observations of the effects of varyingfreshwaterpHonbone.Journalof forensic sciences, 56(2), 475–9.</w:t>
      </w:r>
    </w:p>
    <w:p w:rsidR="0020726C" w:rsidRDefault="00517E0C">
      <w:pPr>
        <w:pStyle w:val="ListParagraph"/>
        <w:numPr>
          <w:ilvl w:val="0"/>
          <w:numId w:val="1"/>
        </w:numPr>
        <w:tabs>
          <w:tab w:val="left" w:pos="795"/>
        </w:tabs>
        <w:spacing w:line="276" w:lineRule="auto"/>
        <w:ind w:right="869"/>
        <w:jc w:val="both"/>
        <w:rPr>
          <w:sz w:val="24"/>
        </w:rPr>
      </w:pPr>
      <w:r>
        <w:rPr>
          <w:sz w:val="24"/>
        </w:rPr>
        <w:t>Hefti,E,Trechsel,U,Rüfenacht,H and Fleisch, H (1980). Use of dermestid beetles for cleaning bones.CalcifiedTissueInternational,31(1),45–</w:t>
      </w:r>
    </w:p>
    <w:p w:rsidR="0020726C" w:rsidRDefault="00517E0C">
      <w:pPr>
        <w:pStyle w:val="BodyText"/>
        <w:spacing w:line="274" w:lineRule="exact"/>
        <w:ind w:left="795"/>
      </w:pPr>
      <w:r>
        <w:rPr>
          <w:spacing w:val="-5"/>
        </w:rPr>
        <w:t>47.</w:t>
      </w:r>
    </w:p>
    <w:p w:rsidR="0020726C" w:rsidRDefault="00517E0C">
      <w:pPr>
        <w:pStyle w:val="ListParagraph"/>
        <w:numPr>
          <w:ilvl w:val="0"/>
          <w:numId w:val="1"/>
        </w:numPr>
        <w:tabs>
          <w:tab w:val="left" w:pos="795"/>
        </w:tabs>
        <w:spacing w:before="44" w:line="276" w:lineRule="auto"/>
        <w:ind w:right="814"/>
        <w:rPr>
          <w:sz w:val="24"/>
        </w:rPr>
      </w:pPr>
      <w:r>
        <w:rPr>
          <w:sz w:val="24"/>
        </w:rPr>
        <w:t>Backwell, L.R. Parkinson, A.H, Roberts, E.M, d’Errico, F and Huchet, J.B (2012a). Criteria for identifying bone modification by termites in the fossil record. Palaeogeography, Palaeoclimatology,Palaeoecology,337-338,72–</w:t>
      </w:r>
    </w:p>
    <w:p w:rsidR="0020726C" w:rsidRDefault="00517E0C">
      <w:pPr>
        <w:pStyle w:val="BodyText"/>
        <w:spacing w:line="276" w:lineRule="exact"/>
        <w:ind w:left="795"/>
      </w:pPr>
      <w:r>
        <w:t>87,3(1),</w:t>
      </w:r>
      <w:r>
        <w:rPr>
          <w:spacing w:val="-4"/>
        </w:rPr>
        <w:t>1–6.</w:t>
      </w:r>
    </w:p>
    <w:p w:rsidR="0020726C" w:rsidRDefault="00517E0C">
      <w:pPr>
        <w:pStyle w:val="ListParagraph"/>
        <w:numPr>
          <w:ilvl w:val="0"/>
          <w:numId w:val="1"/>
        </w:numPr>
        <w:tabs>
          <w:tab w:val="left" w:pos="794"/>
        </w:tabs>
        <w:spacing w:before="41"/>
        <w:ind w:left="794" w:hanging="360"/>
        <w:rPr>
          <w:sz w:val="24"/>
        </w:rPr>
      </w:pPr>
      <w:r>
        <w:rPr>
          <w:sz w:val="24"/>
        </w:rPr>
        <w:t xml:space="preserve">Onwuama,K.T,Salami, S.O,Ali, Mand </w:t>
      </w:r>
      <w:r>
        <w:rPr>
          <w:spacing w:val="-2"/>
          <w:sz w:val="24"/>
        </w:rPr>
        <w:t>Nzalak,</w:t>
      </w:r>
    </w:p>
    <w:p w:rsidR="0020726C" w:rsidRDefault="00517E0C">
      <w:pPr>
        <w:pStyle w:val="BodyText"/>
        <w:spacing w:before="41" w:line="276" w:lineRule="auto"/>
        <w:ind w:left="795" w:right="756"/>
      </w:pPr>
      <w:r>
        <w:t>J. O (2012). Effect of different methods of bone preparation on the skeleton of the African giant pouched rat (cricetomys gambianus). InternationalJournalofMorphology,30(2),425–</w:t>
      </w:r>
    </w:p>
    <w:p w:rsidR="0020726C" w:rsidRDefault="00517E0C">
      <w:pPr>
        <w:pStyle w:val="BodyText"/>
        <w:ind w:left="795"/>
      </w:pPr>
      <w:r>
        <w:rPr>
          <w:spacing w:val="-4"/>
        </w:rPr>
        <w:t>427.</w:t>
      </w:r>
    </w:p>
    <w:p w:rsidR="0020726C" w:rsidRDefault="00517E0C">
      <w:pPr>
        <w:pStyle w:val="ListParagraph"/>
        <w:numPr>
          <w:ilvl w:val="0"/>
          <w:numId w:val="1"/>
        </w:numPr>
        <w:tabs>
          <w:tab w:val="left" w:pos="795"/>
        </w:tabs>
        <w:spacing w:before="41" w:line="276" w:lineRule="auto"/>
        <w:ind w:right="1145"/>
        <w:rPr>
          <w:sz w:val="24"/>
        </w:rPr>
      </w:pPr>
      <w:r>
        <w:rPr>
          <w:sz w:val="24"/>
        </w:rPr>
        <w:t>Bartels,TandMeyer,W(1991).Aquickand effective method for the maceration of vertebrates. DTW. Deutsche tierärztliche Wochenschrift, 98(11), 407 – 9.</w:t>
      </w:r>
    </w:p>
    <w:p w:rsidR="0020726C" w:rsidRDefault="00517E0C">
      <w:pPr>
        <w:pStyle w:val="ListParagraph"/>
        <w:numPr>
          <w:ilvl w:val="0"/>
          <w:numId w:val="1"/>
        </w:numPr>
        <w:tabs>
          <w:tab w:val="left" w:pos="795"/>
        </w:tabs>
        <w:spacing w:line="276" w:lineRule="auto"/>
        <w:ind w:right="884"/>
        <w:rPr>
          <w:sz w:val="24"/>
        </w:rPr>
      </w:pPr>
      <w:r>
        <w:rPr>
          <w:sz w:val="24"/>
        </w:rPr>
        <w:t>Simonsen, K.P, Rasmussen, A.R, Mathisen, P, Petersen, H and Borup, F (2011). A fast preparation of skeletal materials using enzyme maceration.JournalofForensicSciences,56(2), 480 – 4.</w:t>
      </w:r>
    </w:p>
    <w:p w:rsidR="00355843" w:rsidRDefault="00355843" w:rsidP="00355843">
      <w:pPr>
        <w:pStyle w:val="ListParagraph"/>
        <w:numPr>
          <w:ilvl w:val="0"/>
          <w:numId w:val="1"/>
        </w:numPr>
        <w:tabs>
          <w:tab w:val="left" w:pos="795"/>
        </w:tabs>
        <w:spacing w:before="246" w:line="276" w:lineRule="auto"/>
        <w:ind w:right="797"/>
        <w:rPr>
          <w:sz w:val="24"/>
        </w:rPr>
      </w:pPr>
      <w:r>
        <w:rPr>
          <w:sz w:val="24"/>
        </w:rPr>
        <w:t>Offele, D, Harbeck, M, Dobberstein, R.C, von Wurmb-Schwark, N and Ritz-Timme, S (2007). Softtissueremovalbymacerationandfeedingof Dermestes sp.: impact on morphological and biomolecular analyses of dental tissues in forensicmedicine.InternationalJournalofLegal Medicine, 121(5), 341–8.</w:t>
      </w:r>
    </w:p>
    <w:p w:rsidR="00355843" w:rsidRDefault="00355843" w:rsidP="00355843">
      <w:pPr>
        <w:pStyle w:val="ListParagraph"/>
        <w:tabs>
          <w:tab w:val="left" w:pos="795"/>
        </w:tabs>
        <w:spacing w:line="276" w:lineRule="auto"/>
        <w:ind w:left="795" w:right="884" w:firstLine="0"/>
        <w:rPr>
          <w:sz w:val="24"/>
        </w:rPr>
      </w:pPr>
    </w:p>
    <w:sectPr w:rsidR="00355843" w:rsidSect="0020726C">
      <w:pgSz w:w="12240" w:h="15840"/>
      <w:pgMar w:top="1080" w:right="0" w:bottom="440" w:left="120" w:header="0" w:footer="227" w:gutter="0"/>
      <w:cols w:num="2" w:space="720" w:equalWidth="0">
        <w:col w:w="5764" w:space="40"/>
        <w:col w:w="631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C7" w:rsidRDefault="009D08C7" w:rsidP="0020726C">
      <w:r>
        <w:separator/>
      </w:r>
    </w:p>
  </w:endnote>
  <w:endnote w:type="continuationSeparator" w:id="1">
    <w:p w:rsidR="009D08C7" w:rsidRDefault="009D08C7" w:rsidP="00207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6C" w:rsidRDefault="00CA7E61">
    <w:pPr>
      <w:pStyle w:val="BodyText"/>
      <w:spacing w:line="14" w:lineRule="auto"/>
      <w:rPr>
        <w:sz w:val="20"/>
      </w:rPr>
    </w:pPr>
    <w:r w:rsidRPr="00CA7E61">
      <w:pict>
        <v:group id="docshapegroup1" o:spid="_x0000_s2054" style="position:absolute;margin-left:0;margin-top:769.15pt;width:612pt;height:22.85pt;z-index:-15816192;mso-position-horizontal-relative:page;mso-position-vertical-relative:page" coordorigin=",15383" coordsize="12240,457">
          <v:rect id="docshape2" o:spid="_x0000_s2056" style="position:absolute;top:15391;width:12240;height:449" fillcolor="#c00000" stroked="f"/>
          <v:line id="_x0000_s2055" style="position:absolute" from="12240,15391" to="0,15391" strokecolor="#c00000"/>
          <w10:wrap anchorx="page" anchory="page"/>
        </v:group>
      </w:pict>
    </w:r>
    <w:r w:rsidRPr="00CA7E61">
      <w:pict>
        <v:shapetype id="_x0000_t202" coordsize="21600,21600" o:spt="202" path="m,l,21600r21600,l21600,xe">
          <v:stroke joinstyle="miter"/>
          <v:path gradientshapeok="t" o:connecttype="rect"/>
        </v:shapetype>
        <v:shape id="docshape3" o:spid="_x0000_s2053" type="#_x0000_t202" style="position:absolute;margin-left:51.45pt;margin-top:772.8pt;width:512.3pt;height:10.95pt;z-index:-15815680;mso-position-horizontal-relative:page;mso-position-vertical-relative:page" filled="f" stroked="f">
          <v:textbox style="mso-next-textbox:#docshape3" inset="0,0,0,0">
            <w:txbxContent>
              <w:p w:rsidR="0020726C" w:rsidRDefault="00517E0C">
                <w:pPr>
                  <w:spacing w:before="14"/>
                  <w:ind w:left="20"/>
                  <w:rPr>
                    <w:b/>
                    <w:sz w:val="16"/>
                  </w:rPr>
                </w:pPr>
                <w:r>
                  <w:rPr>
                    <w:b/>
                    <w:color w:val="FFFFFF"/>
                    <w:sz w:val="16"/>
                  </w:rPr>
                  <w:t>Website:</w:t>
                </w:r>
                <w:hyperlink r:id="rId1">
                  <w:r>
                    <w:rPr>
                      <w:b/>
                      <w:color w:val="FFFFFF"/>
                      <w:sz w:val="16"/>
                    </w:rPr>
                    <w:t>www.JSCCR.ORG,</w:t>
                  </w:r>
                </w:hyperlink>
                <w:r>
                  <w:rPr>
                    <w:b/>
                    <w:color w:val="FFFFFF"/>
                    <w:sz w:val="16"/>
                  </w:rPr>
                  <w:t>JSCCR,ISSNE:xxxx-xxxx,2024,Volume1,Issue1,P:11-14,JournalforStemCellAndClinicalResearch,PageNo</w:t>
                </w:r>
                <w:r w:rsidR="00CA7E61">
                  <w:rPr>
                    <w:b/>
                    <w:color w:val="FFFFFF"/>
                    <w:spacing w:val="-10"/>
                    <w:sz w:val="16"/>
                  </w:rPr>
                  <w:fldChar w:fldCharType="begin"/>
                </w:r>
                <w:r>
                  <w:rPr>
                    <w:b/>
                    <w:color w:val="FFFFFF"/>
                    <w:spacing w:val="-10"/>
                    <w:sz w:val="16"/>
                  </w:rPr>
                  <w:instrText xml:space="preserve"> PAGE </w:instrText>
                </w:r>
                <w:r w:rsidR="00CA7E61">
                  <w:rPr>
                    <w:b/>
                    <w:color w:val="FFFFFF"/>
                    <w:spacing w:val="-10"/>
                    <w:sz w:val="16"/>
                  </w:rPr>
                  <w:fldChar w:fldCharType="separate"/>
                </w:r>
                <w:r w:rsidR="00A47A2B">
                  <w:rPr>
                    <w:b/>
                    <w:noProof/>
                    <w:color w:val="FFFFFF"/>
                    <w:spacing w:val="-10"/>
                    <w:sz w:val="16"/>
                  </w:rPr>
                  <w:t>1</w:t>
                </w:r>
                <w:r w:rsidR="00CA7E61">
                  <w:rPr>
                    <w:b/>
                    <w:color w:val="FFFFFF"/>
                    <w:spacing w:val="-10"/>
                    <w:sz w:val="16"/>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6C" w:rsidRDefault="00CA7E61">
    <w:pPr>
      <w:pStyle w:val="BodyText"/>
      <w:spacing w:line="14" w:lineRule="auto"/>
      <w:rPr>
        <w:sz w:val="20"/>
      </w:rPr>
    </w:pPr>
    <w:r w:rsidRPr="00CA7E61">
      <w:pict>
        <v:group id="docshapegroup15" o:spid="_x0000_s2050" style="position:absolute;margin-left:0;margin-top:770.65pt;width:612pt;height:21.35pt;z-index:-15815168;mso-position-horizontal-relative:page;mso-position-vertical-relative:page" coordorigin=",15413" coordsize="12240,427">
          <v:rect id="docshape16" o:spid="_x0000_s2052" style="position:absolute;top:15421;width:12240;height:419" fillcolor="#c00000" stroked="f"/>
          <v:line id="_x0000_s2051" style="position:absolute" from="12240,15421" to="0,15421" strokecolor="#c00000"/>
          <w10:wrap anchorx="page" anchory="page"/>
        </v:group>
      </w:pict>
    </w:r>
    <w:r w:rsidRPr="00CA7E61">
      <w:pict>
        <v:shapetype id="_x0000_t202" coordsize="21600,21600" o:spt="202" path="m,l,21600r21600,l21600,xe">
          <v:stroke joinstyle="miter"/>
          <v:path gradientshapeok="t" o:connecttype="rect"/>
        </v:shapetype>
        <v:shape id="docshape17" o:spid="_x0000_s2049" type="#_x0000_t202" style="position:absolute;margin-left:40.75pt;margin-top:774.35pt;width:514.3pt;height:10.95pt;z-index:-15814656;mso-position-horizontal-relative:page;mso-position-vertical-relative:page" filled="f" stroked="f">
          <v:textbox inset="0,0,0,0">
            <w:txbxContent>
              <w:p w:rsidR="0020726C" w:rsidRDefault="00517E0C">
                <w:pPr>
                  <w:spacing w:before="14"/>
                  <w:ind w:left="20"/>
                  <w:rPr>
                    <w:b/>
                    <w:sz w:val="16"/>
                  </w:rPr>
                </w:pPr>
                <w:r>
                  <w:rPr>
                    <w:b/>
                    <w:color w:val="FFFFFF"/>
                    <w:sz w:val="16"/>
                  </w:rPr>
                  <w:t>Website:</w:t>
                </w:r>
                <w:hyperlink r:id="rId1">
                  <w:r>
                    <w:rPr>
                      <w:b/>
                      <w:color w:val="FFFFFF"/>
                      <w:sz w:val="16"/>
                    </w:rPr>
                    <w:t>www.JSCCR.ORG,</w:t>
                  </w:r>
                </w:hyperlink>
                <w:r>
                  <w:rPr>
                    <w:b/>
                    <w:color w:val="FFFFFF"/>
                    <w:sz w:val="16"/>
                  </w:rPr>
                  <w:t>JSCCR,ISSNE:xxxx-xxxx,2024,Volume1,Issue1,P:11-14,JournalforStemCellAndClinicalResearch ,PageNo</w:t>
                </w:r>
                <w:r w:rsidR="00CA7E61">
                  <w:rPr>
                    <w:b/>
                    <w:color w:val="FFFFFF"/>
                    <w:spacing w:val="-10"/>
                    <w:sz w:val="16"/>
                  </w:rPr>
                  <w:fldChar w:fldCharType="begin"/>
                </w:r>
                <w:r>
                  <w:rPr>
                    <w:b/>
                    <w:color w:val="FFFFFF"/>
                    <w:spacing w:val="-10"/>
                    <w:sz w:val="16"/>
                  </w:rPr>
                  <w:instrText xml:space="preserve"> PAGE </w:instrText>
                </w:r>
                <w:r w:rsidR="00CA7E61">
                  <w:rPr>
                    <w:b/>
                    <w:color w:val="FFFFFF"/>
                    <w:spacing w:val="-10"/>
                    <w:sz w:val="16"/>
                  </w:rPr>
                  <w:fldChar w:fldCharType="separate"/>
                </w:r>
                <w:r w:rsidR="00A47A2B">
                  <w:rPr>
                    <w:b/>
                    <w:noProof/>
                    <w:color w:val="FFFFFF"/>
                    <w:spacing w:val="-10"/>
                    <w:sz w:val="16"/>
                  </w:rPr>
                  <w:t>4</w:t>
                </w:r>
                <w:r w:rsidR="00CA7E61">
                  <w:rPr>
                    <w:b/>
                    <w:color w:val="FFFFFF"/>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C7" w:rsidRDefault="009D08C7" w:rsidP="0020726C">
      <w:r>
        <w:separator/>
      </w:r>
    </w:p>
  </w:footnote>
  <w:footnote w:type="continuationSeparator" w:id="1">
    <w:p w:rsidR="009D08C7" w:rsidRDefault="009D08C7" w:rsidP="00207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D4F64"/>
    <w:multiLevelType w:val="hybridMultilevel"/>
    <w:tmpl w:val="087AA968"/>
    <w:lvl w:ilvl="0" w:tplc="A6E410B0">
      <w:start w:val="8"/>
      <w:numFmt w:val="decimal"/>
      <w:lvlText w:val="%1."/>
      <w:lvlJc w:val="left"/>
      <w:pPr>
        <w:ind w:left="97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9803A0E">
      <w:numFmt w:val="bullet"/>
      <w:lvlText w:val="•"/>
      <w:lvlJc w:val="left"/>
      <w:pPr>
        <w:ind w:left="1458" w:hanging="360"/>
      </w:pPr>
      <w:rPr>
        <w:rFonts w:hint="default"/>
        <w:lang w:val="en-US" w:eastAsia="en-US" w:bidi="ar-SA"/>
      </w:rPr>
    </w:lvl>
    <w:lvl w:ilvl="2" w:tplc="86AAC110">
      <w:numFmt w:val="bullet"/>
      <w:lvlText w:val="•"/>
      <w:lvlJc w:val="left"/>
      <w:pPr>
        <w:ind w:left="1936" w:hanging="360"/>
      </w:pPr>
      <w:rPr>
        <w:rFonts w:hint="default"/>
        <w:lang w:val="en-US" w:eastAsia="en-US" w:bidi="ar-SA"/>
      </w:rPr>
    </w:lvl>
    <w:lvl w:ilvl="3" w:tplc="FE76A676">
      <w:numFmt w:val="bullet"/>
      <w:lvlText w:val="•"/>
      <w:lvlJc w:val="left"/>
      <w:pPr>
        <w:ind w:left="2415" w:hanging="360"/>
      </w:pPr>
      <w:rPr>
        <w:rFonts w:hint="default"/>
        <w:lang w:val="en-US" w:eastAsia="en-US" w:bidi="ar-SA"/>
      </w:rPr>
    </w:lvl>
    <w:lvl w:ilvl="4" w:tplc="77F8FB4E">
      <w:numFmt w:val="bullet"/>
      <w:lvlText w:val="•"/>
      <w:lvlJc w:val="left"/>
      <w:pPr>
        <w:ind w:left="2893" w:hanging="360"/>
      </w:pPr>
      <w:rPr>
        <w:rFonts w:hint="default"/>
        <w:lang w:val="en-US" w:eastAsia="en-US" w:bidi="ar-SA"/>
      </w:rPr>
    </w:lvl>
    <w:lvl w:ilvl="5" w:tplc="ABCE8CFE">
      <w:numFmt w:val="bullet"/>
      <w:lvlText w:val="•"/>
      <w:lvlJc w:val="left"/>
      <w:pPr>
        <w:ind w:left="3371" w:hanging="360"/>
      </w:pPr>
      <w:rPr>
        <w:rFonts w:hint="default"/>
        <w:lang w:val="en-US" w:eastAsia="en-US" w:bidi="ar-SA"/>
      </w:rPr>
    </w:lvl>
    <w:lvl w:ilvl="6" w:tplc="528C2D7C">
      <w:numFmt w:val="bullet"/>
      <w:lvlText w:val="•"/>
      <w:lvlJc w:val="left"/>
      <w:pPr>
        <w:ind w:left="3850" w:hanging="360"/>
      </w:pPr>
      <w:rPr>
        <w:rFonts w:hint="default"/>
        <w:lang w:val="en-US" w:eastAsia="en-US" w:bidi="ar-SA"/>
      </w:rPr>
    </w:lvl>
    <w:lvl w:ilvl="7" w:tplc="4016E658">
      <w:numFmt w:val="bullet"/>
      <w:lvlText w:val="•"/>
      <w:lvlJc w:val="left"/>
      <w:pPr>
        <w:ind w:left="4328" w:hanging="360"/>
      </w:pPr>
      <w:rPr>
        <w:rFonts w:hint="default"/>
        <w:lang w:val="en-US" w:eastAsia="en-US" w:bidi="ar-SA"/>
      </w:rPr>
    </w:lvl>
    <w:lvl w:ilvl="8" w:tplc="7B528B1A">
      <w:numFmt w:val="bullet"/>
      <w:lvlText w:val="•"/>
      <w:lvlJc w:val="left"/>
      <w:pPr>
        <w:ind w:left="4807" w:hanging="360"/>
      </w:pPr>
      <w:rPr>
        <w:rFonts w:hint="default"/>
        <w:lang w:val="en-US" w:eastAsia="en-US" w:bidi="ar-SA"/>
      </w:rPr>
    </w:lvl>
  </w:abstractNum>
  <w:abstractNum w:abstractNumId="1">
    <w:nsid w:val="5916772F"/>
    <w:multiLevelType w:val="hybridMultilevel"/>
    <w:tmpl w:val="4B0A39F0"/>
    <w:lvl w:ilvl="0" w:tplc="2C24C40E">
      <w:start w:val="1"/>
      <w:numFmt w:val="decimal"/>
      <w:lvlText w:val="%1."/>
      <w:lvlJc w:val="left"/>
      <w:pPr>
        <w:ind w:left="79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7D008E0">
      <w:numFmt w:val="bullet"/>
      <w:lvlText w:val="•"/>
      <w:lvlJc w:val="left"/>
      <w:pPr>
        <w:ind w:left="1351" w:hanging="361"/>
      </w:pPr>
      <w:rPr>
        <w:rFonts w:hint="default"/>
        <w:lang w:val="en-US" w:eastAsia="en-US" w:bidi="ar-SA"/>
      </w:rPr>
    </w:lvl>
    <w:lvl w:ilvl="2" w:tplc="C43CC5BA">
      <w:numFmt w:val="bullet"/>
      <w:lvlText w:val="•"/>
      <w:lvlJc w:val="left"/>
      <w:pPr>
        <w:ind w:left="1903" w:hanging="361"/>
      </w:pPr>
      <w:rPr>
        <w:rFonts w:hint="default"/>
        <w:lang w:val="en-US" w:eastAsia="en-US" w:bidi="ar-SA"/>
      </w:rPr>
    </w:lvl>
    <w:lvl w:ilvl="3" w:tplc="FF782DCE">
      <w:numFmt w:val="bullet"/>
      <w:lvlText w:val="•"/>
      <w:lvlJc w:val="left"/>
      <w:pPr>
        <w:ind w:left="2454" w:hanging="361"/>
      </w:pPr>
      <w:rPr>
        <w:rFonts w:hint="default"/>
        <w:lang w:val="en-US" w:eastAsia="en-US" w:bidi="ar-SA"/>
      </w:rPr>
    </w:lvl>
    <w:lvl w:ilvl="4" w:tplc="86863A90">
      <w:numFmt w:val="bullet"/>
      <w:lvlText w:val="•"/>
      <w:lvlJc w:val="left"/>
      <w:pPr>
        <w:ind w:left="3006" w:hanging="361"/>
      </w:pPr>
      <w:rPr>
        <w:rFonts w:hint="default"/>
        <w:lang w:val="en-US" w:eastAsia="en-US" w:bidi="ar-SA"/>
      </w:rPr>
    </w:lvl>
    <w:lvl w:ilvl="5" w:tplc="FD124E1E">
      <w:numFmt w:val="bullet"/>
      <w:lvlText w:val="•"/>
      <w:lvlJc w:val="left"/>
      <w:pPr>
        <w:ind w:left="3558" w:hanging="361"/>
      </w:pPr>
      <w:rPr>
        <w:rFonts w:hint="default"/>
        <w:lang w:val="en-US" w:eastAsia="en-US" w:bidi="ar-SA"/>
      </w:rPr>
    </w:lvl>
    <w:lvl w:ilvl="6" w:tplc="5036B5BE">
      <w:numFmt w:val="bullet"/>
      <w:lvlText w:val="•"/>
      <w:lvlJc w:val="left"/>
      <w:pPr>
        <w:ind w:left="4109" w:hanging="361"/>
      </w:pPr>
      <w:rPr>
        <w:rFonts w:hint="default"/>
        <w:lang w:val="en-US" w:eastAsia="en-US" w:bidi="ar-SA"/>
      </w:rPr>
    </w:lvl>
    <w:lvl w:ilvl="7" w:tplc="E646A48C">
      <w:numFmt w:val="bullet"/>
      <w:lvlText w:val="•"/>
      <w:lvlJc w:val="left"/>
      <w:pPr>
        <w:ind w:left="4661" w:hanging="361"/>
      </w:pPr>
      <w:rPr>
        <w:rFonts w:hint="default"/>
        <w:lang w:val="en-US" w:eastAsia="en-US" w:bidi="ar-SA"/>
      </w:rPr>
    </w:lvl>
    <w:lvl w:ilvl="8" w:tplc="30FEF334">
      <w:numFmt w:val="bullet"/>
      <w:lvlText w:val="•"/>
      <w:lvlJc w:val="left"/>
      <w:pPr>
        <w:ind w:left="5212" w:hanging="361"/>
      </w:pPr>
      <w:rPr>
        <w:rFonts w:hint="default"/>
        <w:lang w:val="en-US" w:eastAsia="en-US" w:bidi="ar-SA"/>
      </w:rPr>
    </w:lvl>
  </w:abstractNum>
  <w:abstractNum w:abstractNumId="2">
    <w:nsid w:val="6C357200"/>
    <w:multiLevelType w:val="multilevel"/>
    <w:tmpl w:val="7D20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60891"/>
    <w:multiLevelType w:val="hybridMultilevel"/>
    <w:tmpl w:val="848EC528"/>
    <w:lvl w:ilvl="0" w:tplc="21BCA30E">
      <w:start w:val="1"/>
      <w:numFmt w:val="decimal"/>
      <w:lvlText w:val="%1)"/>
      <w:lvlJc w:val="left"/>
      <w:pPr>
        <w:ind w:left="1084"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C5E93DA">
      <w:start w:val="2"/>
      <w:numFmt w:val="lowerLetter"/>
      <w:lvlText w:val="%2."/>
      <w:lvlJc w:val="left"/>
      <w:pPr>
        <w:ind w:left="14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F9E0278">
      <w:numFmt w:val="bullet"/>
      <w:lvlText w:val="•"/>
      <w:lvlJc w:val="left"/>
      <w:pPr>
        <w:ind w:left="1224" w:hanging="360"/>
      </w:pPr>
      <w:rPr>
        <w:rFonts w:hint="default"/>
        <w:lang w:val="en-US" w:eastAsia="en-US" w:bidi="ar-SA"/>
      </w:rPr>
    </w:lvl>
    <w:lvl w:ilvl="3" w:tplc="1302B2D8">
      <w:numFmt w:val="bullet"/>
      <w:lvlText w:val="•"/>
      <w:lvlJc w:val="left"/>
      <w:pPr>
        <w:ind w:left="1009" w:hanging="360"/>
      </w:pPr>
      <w:rPr>
        <w:rFonts w:hint="default"/>
        <w:lang w:val="en-US" w:eastAsia="en-US" w:bidi="ar-SA"/>
      </w:rPr>
    </w:lvl>
    <w:lvl w:ilvl="4" w:tplc="8C32C0EC">
      <w:numFmt w:val="bullet"/>
      <w:lvlText w:val="•"/>
      <w:lvlJc w:val="left"/>
      <w:pPr>
        <w:ind w:left="794" w:hanging="360"/>
      </w:pPr>
      <w:rPr>
        <w:rFonts w:hint="default"/>
        <w:lang w:val="en-US" w:eastAsia="en-US" w:bidi="ar-SA"/>
      </w:rPr>
    </w:lvl>
    <w:lvl w:ilvl="5" w:tplc="BABE8802">
      <w:numFmt w:val="bullet"/>
      <w:lvlText w:val="•"/>
      <w:lvlJc w:val="left"/>
      <w:pPr>
        <w:ind w:left="579" w:hanging="360"/>
      </w:pPr>
      <w:rPr>
        <w:rFonts w:hint="default"/>
        <w:lang w:val="en-US" w:eastAsia="en-US" w:bidi="ar-SA"/>
      </w:rPr>
    </w:lvl>
    <w:lvl w:ilvl="6" w:tplc="5AACFC8C">
      <w:numFmt w:val="bullet"/>
      <w:lvlText w:val="•"/>
      <w:lvlJc w:val="left"/>
      <w:pPr>
        <w:ind w:left="363" w:hanging="360"/>
      </w:pPr>
      <w:rPr>
        <w:rFonts w:hint="default"/>
        <w:lang w:val="en-US" w:eastAsia="en-US" w:bidi="ar-SA"/>
      </w:rPr>
    </w:lvl>
    <w:lvl w:ilvl="7" w:tplc="30CECBDC">
      <w:numFmt w:val="bullet"/>
      <w:lvlText w:val="•"/>
      <w:lvlJc w:val="left"/>
      <w:pPr>
        <w:ind w:left="148" w:hanging="360"/>
      </w:pPr>
      <w:rPr>
        <w:rFonts w:hint="default"/>
        <w:lang w:val="en-US" w:eastAsia="en-US" w:bidi="ar-SA"/>
      </w:rPr>
    </w:lvl>
    <w:lvl w:ilvl="8" w:tplc="70226454">
      <w:numFmt w:val="bullet"/>
      <w:lvlText w:val="•"/>
      <w:lvlJc w:val="left"/>
      <w:pPr>
        <w:ind w:left="-67" w:hanging="360"/>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colormenu v:ext="edit" fillcolor="#c00000"/>
    </o:shapedefaults>
    <o:shapelayout v:ext="edit">
      <o:idmap v:ext="edit" data="2"/>
    </o:shapelayout>
  </w:hdrShapeDefaults>
  <w:footnotePr>
    <w:footnote w:id="0"/>
    <w:footnote w:id="1"/>
  </w:footnotePr>
  <w:endnotePr>
    <w:endnote w:id="0"/>
    <w:endnote w:id="1"/>
  </w:endnotePr>
  <w:compat>
    <w:ulTrailSpace/>
    <w:shapeLayoutLikeWW8/>
  </w:compat>
  <w:rsids>
    <w:rsidRoot w:val="0020726C"/>
    <w:rsid w:val="001232DC"/>
    <w:rsid w:val="00150E1B"/>
    <w:rsid w:val="00162414"/>
    <w:rsid w:val="0020726C"/>
    <w:rsid w:val="002307BC"/>
    <w:rsid w:val="002D7119"/>
    <w:rsid w:val="00355843"/>
    <w:rsid w:val="00517E0C"/>
    <w:rsid w:val="006D6528"/>
    <w:rsid w:val="00816E35"/>
    <w:rsid w:val="008A0F05"/>
    <w:rsid w:val="0095575D"/>
    <w:rsid w:val="009D08C7"/>
    <w:rsid w:val="00A47A2B"/>
    <w:rsid w:val="00AD1A65"/>
    <w:rsid w:val="00BC6E3C"/>
    <w:rsid w:val="00CA7E61"/>
    <w:rsid w:val="00CC46EE"/>
    <w:rsid w:val="00D524F5"/>
    <w:rsid w:val="00DC7B77"/>
    <w:rsid w:val="00E0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726C"/>
    <w:rPr>
      <w:rFonts w:ascii="Times New Roman" w:eastAsia="Times New Roman" w:hAnsi="Times New Roman" w:cs="Times New Roman"/>
    </w:rPr>
  </w:style>
  <w:style w:type="paragraph" w:styleId="Heading1">
    <w:name w:val="heading 1"/>
    <w:basedOn w:val="Normal"/>
    <w:uiPriority w:val="1"/>
    <w:qFormat/>
    <w:rsid w:val="0020726C"/>
    <w:pPr>
      <w:ind w:left="143"/>
      <w:outlineLvl w:val="0"/>
    </w:pPr>
    <w:rPr>
      <w:b/>
      <w:bCs/>
      <w:sz w:val="28"/>
      <w:szCs w:val="28"/>
    </w:rPr>
  </w:style>
  <w:style w:type="paragraph" w:styleId="Heading2">
    <w:name w:val="heading 2"/>
    <w:basedOn w:val="Normal"/>
    <w:next w:val="Normal"/>
    <w:link w:val="Heading2Char"/>
    <w:uiPriority w:val="9"/>
    <w:unhideWhenUsed/>
    <w:qFormat/>
    <w:rsid w:val="001232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726C"/>
    <w:rPr>
      <w:sz w:val="24"/>
      <w:szCs w:val="24"/>
    </w:rPr>
  </w:style>
  <w:style w:type="paragraph" w:styleId="ListParagraph">
    <w:name w:val="List Paragraph"/>
    <w:basedOn w:val="Normal"/>
    <w:uiPriority w:val="1"/>
    <w:qFormat/>
    <w:rsid w:val="0020726C"/>
    <w:pPr>
      <w:ind w:left="972" w:hanging="360"/>
    </w:pPr>
  </w:style>
  <w:style w:type="paragraph" w:customStyle="1" w:styleId="TableParagraph">
    <w:name w:val="Table Paragraph"/>
    <w:basedOn w:val="Normal"/>
    <w:uiPriority w:val="1"/>
    <w:qFormat/>
    <w:rsid w:val="0020726C"/>
  </w:style>
  <w:style w:type="paragraph" w:styleId="NormalWeb">
    <w:name w:val="Normal (Web)"/>
    <w:basedOn w:val="Normal"/>
    <w:uiPriority w:val="99"/>
    <w:unhideWhenUsed/>
    <w:rsid w:val="00E0551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05513"/>
    <w:rPr>
      <w:b/>
      <w:bCs/>
    </w:rPr>
  </w:style>
  <w:style w:type="paragraph" w:styleId="BalloonText">
    <w:name w:val="Balloon Text"/>
    <w:basedOn w:val="Normal"/>
    <w:link w:val="BalloonTextChar"/>
    <w:uiPriority w:val="99"/>
    <w:semiHidden/>
    <w:unhideWhenUsed/>
    <w:rsid w:val="00816E35"/>
    <w:rPr>
      <w:rFonts w:ascii="Tahoma" w:hAnsi="Tahoma" w:cs="Tahoma"/>
      <w:sz w:val="16"/>
      <w:szCs w:val="16"/>
    </w:rPr>
  </w:style>
  <w:style w:type="character" w:customStyle="1" w:styleId="BalloonTextChar">
    <w:name w:val="Balloon Text Char"/>
    <w:basedOn w:val="DefaultParagraphFont"/>
    <w:link w:val="BalloonText"/>
    <w:uiPriority w:val="99"/>
    <w:semiHidden/>
    <w:rsid w:val="00816E35"/>
    <w:rPr>
      <w:rFonts w:ascii="Tahoma" w:eastAsia="Times New Roman" w:hAnsi="Tahoma" w:cs="Tahoma"/>
      <w:sz w:val="16"/>
      <w:szCs w:val="16"/>
    </w:rPr>
  </w:style>
  <w:style w:type="character" w:customStyle="1" w:styleId="Heading2Char">
    <w:name w:val="Heading 2 Char"/>
    <w:basedOn w:val="DefaultParagraphFont"/>
    <w:link w:val="Heading2"/>
    <w:uiPriority w:val="9"/>
    <w:rsid w:val="001232DC"/>
    <w:rPr>
      <w:rFonts w:asciiTheme="majorHAnsi" w:eastAsiaTheme="majorEastAsia" w:hAnsiTheme="majorHAnsi" w:cstheme="majorBidi"/>
      <w:b/>
      <w:bCs/>
      <w:color w:val="4F81BD" w:themeColor="accent1"/>
      <w:sz w:val="26"/>
      <w:szCs w:val="26"/>
    </w:rPr>
  </w:style>
  <w:style w:type="character" w:customStyle="1" w:styleId="citation-0">
    <w:name w:val="citation-0"/>
    <w:basedOn w:val="DefaultParagraphFont"/>
    <w:rsid w:val="001232DC"/>
  </w:style>
  <w:style w:type="character" w:customStyle="1" w:styleId="button-container">
    <w:name w:val="button-container"/>
    <w:basedOn w:val="DefaultParagraphFont"/>
    <w:rsid w:val="001232DC"/>
  </w:style>
  <w:style w:type="character" w:styleId="Hyperlink">
    <w:name w:val="Hyperlink"/>
    <w:basedOn w:val="DefaultParagraphFont"/>
    <w:uiPriority w:val="99"/>
    <w:semiHidden/>
    <w:unhideWhenUsed/>
    <w:rsid w:val="001232DC"/>
    <w:rPr>
      <w:color w:val="0000FF"/>
      <w:u w:val="single"/>
    </w:rPr>
  </w:style>
  <w:style w:type="character" w:customStyle="1" w:styleId="source-card-title-index">
    <w:name w:val="source-card-title-index"/>
    <w:basedOn w:val="DefaultParagraphFont"/>
    <w:rsid w:val="001232DC"/>
  </w:style>
  <w:style w:type="character" w:customStyle="1" w:styleId="ellipsis">
    <w:name w:val="ellipsis"/>
    <w:basedOn w:val="DefaultParagraphFont"/>
    <w:rsid w:val="001232DC"/>
  </w:style>
  <w:style w:type="character" w:customStyle="1" w:styleId="source-card-attribution-text">
    <w:name w:val="source-card-attribution-text"/>
    <w:basedOn w:val="DefaultParagraphFont"/>
    <w:rsid w:val="001232DC"/>
  </w:style>
</w:styles>
</file>

<file path=word/webSettings.xml><?xml version="1.0" encoding="utf-8"?>
<w:webSettings xmlns:r="http://schemas.openxmlformats.org/officeDocument/2006/relationships" xmlns:w="http://schemas.openxmlformats.org/wordprocessingml/2006/main">
  <w:divs>
    <w:div w:id="118689302">
      <w:bodyDiv w:val="1"/>
      <w:marLeft w:val="0"/>
      <w:marRight w:val="0"/>
      <w:marTop w:val="0"/>
      <w:marBottom w:val="0"/>
      <w:divBdr>
        <w:top w:val="none" w:sz="0" w:space="0" w:color="auto"/>
        <w:left w:val="none" w:sz="0" w:space="0" w:color="auto"/>
        <w:bottom w:val="none" w:sz="0" w:space="0" w:color="auto"/>
        <w:right w:val="none" w:sz="0" w:space="0" w:color="auto"/>
      </w:divBdr>
      <w:divsChild>
        <w:div w:id="269163388">
          <w:marLeft w:val="0"/>
          <w:marRight w:val="0"/>
          <w:marTop w:val="0"/>
          <w:marBottom w:val="0"/>
          <w:divBdr>
            <w:top w:val="none" w:sz="0" w:space="0" w:color="auto"/>
            <w:left w:val="none" w:sz="0" w:space="0" w:color="auto"/>
            <w:bottom w:val="none" w:sz="0" w:space="0" w:color="auto"/>
            <w:right w:val="none" w:sz="0" w:space="0" w:color="auto"/>
          </w:divBdr>
          <w:divsChild>
            <w:div w:id="1329361238">
              <w:marLeft w:val="0"/>
              <w:marRight w:val="0"/>
              <w:marTop w:val="0"/>
              <w:marBottom w:val="0"/>
              <w:divBdr>
                <w:top w:val="none" w:sz="0" w:space="0" w:color="auto"/>
                <w:left w:val="none" w:sz="0" w:space="0" w:color="auto"/>
                <w:bottom w:val="none" w:sz="0" w:space="0" w:color="auto"/>
                <w:right w:val="none" w:sz="0" w:space="0" w:color="auto"/>
              </w:divBdr>
              <w:divsChild>
                <w:div w:id="766196625">
                  <w:marLeft w:val="0"/>
                  <w:marRight w:val="0"/>
                  <w:marTop w:val="0"/>
                  <w:marBottom w:val="0"/>
                  <w:divBdr>
                    <w:top w:val="none" w:sz="0" w:space="0" w:color="auto"/>
                    <w:left w:val="none" w:sz="0" w:space="0" w:color="auto"/>
                    <w:bottom w:val="none" w:sz="0" w:space="0" w:color="auto"/>
                    <w:right w:val="none" w:sz="0" w:space="0" w:color="auto"/>
                  </w:divBdr>
                  <w:divsChild>
                    <w:div w:id="857619228">
                      <w:marLeft w:val="0"/>
                      <w:marRight w:val="0"/>
                      <w:marTop w:val="0"/>
                      <w:marBottom w:val="0"/>
                      <w:divBdr>
                        <w:top w:val="none" w:sz="0" w:space="0" w:color="auto"/>
                        <w:left w:val="none" w:sz="0" w:space="0" w:color="auto"/>
                        <w:bottom w:val="none" w:sz="0" w:space="0" w:color="auto"/>
                        <w:right w:val="none" w:sz="0" w:space="0" w:color="auto"/>
                      </w:divBdr>
                      <w:divsChild>
                        <w:div w:id="1141193393">
                          <w:marLeft w:val="0"/>
                          <w:marRight w:val="0"/>
                          <w:marTop w:val="0"/>
                          <w:marBottom w:val="0"/>
                          <w:divBdr>
                            <w:top w:val="none" w:sz="0" w:space="0" w:color="auto"/>
                            <w:left w:val="none" w:sz="0" w:space="0" w:color="auto"/>
                            <w:bottom w:val="none" w:sz="0" w:space="0" w:color="auto"/>
                            <w:right w:val="none" w:sz="0" w:space="0" w:color="auto"/>
                          </w:divBdr>
                          <w:divsChild>
                            <w:div w:id="1533111702">
                              <w:marLeft w:val="0"/>
                              <w:marRight w:val="0"/>
                              <w:marTop w:val="0"/>
                              <w:marBottom w:val="0"/>
                              <w:divBdr>
                                <w:top w:val="none" w:sz="0" w:space="0" w:color="auto"/>
                                <w:left w:val="none" w:sz="0" w:space="0" w:color="auto"/>
                                <w:bottom w:val="none" w:sz="0" w:space="0" w:color="auto"/>
                                <w:right w:val="none" w:sz="0" w:space="0" w:color="auto"/>
                              </w:divBdr>
                              <w:divsChild>
                                <w:div w:id="581257000">
                                  <w:marLeft w:val="0"/>
                                  <w:marRight w:val="0"/>
                                  <w:marTop w:val="0"/>
                                  <w:marBottom w:val="0"/>
                                  <w:divBdr>
                                    <w:top w:val="none" w:sz="0" w:space="0" w:color="auto"/>
                                    <w:left w:val="none" w:sz="0" w:space="0" w:color="auto"/>
                                    <w:bottom w:val="none" w:sz="0" w:space="0" w:color="auto"/>
                                    <w:right w:val="none" w:sz="0" w:space="0" w:color="auto"/>
                                  </w:divBdr>
                                  <w:divsChild>
                                    <w:div w:id="290357031">
                                      <w:marLeft w:val="0"/>
                                      <w:marRight w:val="0"/>
                                      <w:marTop w:val="0"/>
                                      <w:marBottom w:val="0"/>
                                      <w:divBdr>
                                        <w:top w:val="none" w:sz="0" w:space="0" w:color="auto"/>
                                        <w:left w:val="none" w:sz="0" w:space="0" w:color="auto"/>
                                        <w:bottom w:val="none" w:sz="0" w:space="0" w:color="auto"/>
                                        <w:right w:val="none" w:sz="0" w:space="0" w:color="auto"/>
                                      </w:divBdr>
                                    </w:div>
                                  </w:divsChild>
                                </w:div>
                                <w:div w:id="1437167034">
                                  <w:marLeft w:val="0"/>
                                  <w:marRight w:val="0"/>
                                  <w:marTop w:val="0"/>
                                  <w:marBottom w:val="0"/>
                                  <w:divBdr>
                                    <w:top w:val="none" w:sz="0" w:space="0" w:color="auto"/>
                                    <w:left w:val="none" w:sz="0" w:space="0" w:color="auto"/>
                                    <w:bottom w:val="none" w:sz="0" w:space="0" w:color="auto"/>
                                    <w:right w:val="none" w:sz="0" w:space="0" w:color="auto"/>
                                  </w:divBdr>
                                  <w:divsChild>
                                    <w:div w:id="2041203980">
                                      <w:marLeft w:val="0"/>
                                      <w:marRight w:val="0"/>
                                      <w:marTop w:val="0"/>
                                      <w:marBottom w:val="0"/>
                                      <w:divBdr>
                                        <w:top w:val="none" w:sz="0" w:space="0" w:color="auto"/>
                                        <w:left w:val="none" w:sz="0" w:space="0" w:color="auto"/>
                                        <w:bottom w:val="none" w:sz="0" w:space="0" w:color="auto"/>
                                        <w:right w:val="none" w:sz="0" w:space="0" w:color="auto"/>
                                      </w:divBdr>
                                      <w:divsChild>
                                        <w:div w:id="12079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807401">
      <w:bodyDiv w:val="1"/>
      <w:marLeft w:val="0"/>
      <w:marRight w:val="0"/>
      <w:marTop w:val="0"/>
      <w:marBottom w:val="0"/>
      <w:divBdr>
        <w:top w:val="none" w:sz="0" w:space="0" w:color="auto"/>
        <w:left w:val="none" w:sz="0" w:space="0" w:color="auto"/>
        <w:bottom w:val="none" w:sz="0" w:space="0" w:color="auto"/>
        <w:right w:val="none" w:sz="0" w:space="0" w:color="auto"/>
      </w:divBdr>
    </w:div>
    <w:div w:id="88672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CC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sccr.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Links>
    <vt:vector size="24" baseType="variant">
      <vt:variant>
        <vt:i4>5767196</vt:i4>
      </vt:variant>
      <vt:variant>
        <vt:i4>0</vt:i4>
      </vt:variant>
      <vt:variant>
        <vt:i4>0</vt:i4>
      </vt:variant>
      <vt:variant>
        <vt:i4>5</vt:i4>
      </vt:variant>
      <vt:variant>
        <vt:lpwstr>http://www.jsccr.org/</vt:lpwstr>
      </vt:variant>
      <vt:variant>
        <vt:lpwstr/>
      </vt:variant>
      <vt:variant>
        <vt:i4>5767196</vt:i4>
      </vt:variant>
      <vt:variant>
        <vt:i4>0</vt:i4>
      </vt:variant>
      <vt:variant>
        <vt:i4>0</vt:i4>
      </vt:variant>
      <vt:variant>
        <vt:i4>5</vt:i4>
      </vt:variant>
      <vt:variant>
        <vt:lpwstr>http://www.jsccr.org/</vt:lpwstr>
      </vt:variant>
      <vt:variant>
        <vt:lpwstr/>
      </vt:variant>
      <vt:variant>
        <vt:i4>5767196</vt:i4>
      </vt:variant>
      <vt:variant>
        <vt:i4>6</vt:i4>
      </vt:variant>
      <vt:variant>
        <vt:i4>0</vt:i4>
      </vt:variant>
      <vt:variant>
        <vt:i4>5</vt:i4>
      </vt:variant>
      <vt:variant>
        <vt:lpwstr>http://www.jsccr.org/</vt:lpwstr>
      </vt:variant>
      <vt:variant>
        <vt:lpwstr/>
      </vt:variant>
      <vt:variant>
        <vt:i4>5767196</vt:i4>
      </vt:variant>
      <vt:variant>
        <vt:i4>0</vt:i4>
      </vt:variant>
      <vt:variant>
        <vt:i4>0</vt:i4>
      </vt:variant>
      <vt:variant>
        <vt:i4>5</vt:i4>
      </vt:variant>
      <vt:variant>
        <vt:lpwstr>http://www.jsccr.org/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cp:revision>
  <dcterms:created xsi:type="dcterms:W3CDTF">2024-08-12T06:56:00Z</dcterms:created>
  <dcterms:modified xsi:type="dcterms:W3CDTF">2024-08-12T06:58:00Z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2024-06-29T00:00:00Z</vt:filetime>
  </property>
  <property fmtid="{D5CDD505-2E9C-101B-9397-08002B2CF9AE}" pid="3" name="Creator">
    <vt:lpwstr>Microsoft® Office Word 2007</vt:lpwstr>
  </property>
  <property fmtid="{D5CDD505-2E9C-101B-9397-08002B2CF9AE}" pid="4" name="LastSaved">
    <vt:filetime>2024-07-31T00:00:00Z</vt:filetime>
  </property>
  <property fmtid="{D5CDD505-2E9C-101B-9397-08002B2CF9AE}" pid="5" name="Producer">
    <vt:lpwstr>Microsoft® Office Word 2007</vt:lpwstr>
  </property>
</Properties>
</file>