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6C" w:rsidRDefault="0095575D">
      <w:pPr>
        <w:pStyle w:val="BodyText"/>
        <w:rPr>
          <w:sz w:val="22"/>
        </w:rPr>
      </w:pPr>
      <w:r w:rsidRPr="0095575D">
        <w:pict>
          <v:group id="docshapegroup4" o:spid="_x0000_s1040" style="position:absolute;margin-left:40.6pt;margin-top:7pt;width:571.45pt;height:77.9pt;z-index:15730176;mso-position-horizontal-relative:page;mso-position-vertical-relative:page" coordorigin="812,140" coordsize="11429,1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43" type="#_x0000_t75" style="position:absolute;left:811;top:469;width:1306;height:982">
              <v:imagedata r:id="rId7" o:title=""/>
            </v:shape>
            <v:rect id="docshape6" o:spid="_x0000_s1042" style="position:absolute;left:2139;top:140;width:10101;height:1558" stroked="f"/>
            <v:shapetype id="_x0000_t202" coordsize="21600,21600" o:spt="202" path="m,l,21600r21600,l21600,xe">
              <v:stroke joinstyle="miter"/>
              <v:path gradientshapeok="t" o:connecttype="rect"/>
            </v:shapetype>
            <v:shape id="docshape7" o:spid="_x0000_s1041" type="#_x0000_t202" style="position:absolute;left:811;top:140;width:11429;height:1558" filled="f" stroked="f">
              <v:textbox inset="0,0,0,0">
                <w:txbxContent>
                  <w:p w:rsidR="0020726C" w:rsidRDefault="0095575D">
                    <w:pPr>
                      <w:spacing w:before="70"/>
                      <w:ind w:left="8064"/>
                      <w:rPr>
                        <w:rFonts w:ascii="Calibri"/>
                        <w:b/>
                        <w:sz w:val="16"/>
                      </w:rPr>
                    </w:pPr>
                    <w:hyperlink r:id="rId8">
                      <w:r w:rsidR="00517E0C">
                        <w:rPr>
                          <w:rFonts w:ascii="Calibri"/>
                          <w:b/>
                          <w:color w:val="C00000"/>
                          <w:sz w:val="16"/>
                        </w:rPr>
                        <w:t>WWW.JSCCR.ORG,</w:t>
                      </w:r>
                    </w:hyperlink>
                    <w:r w:rsidR="00517E0C">
                      <w:rPr>
                        <w:rFonts w:ascii="Calibri"/>
                        <w:b/>
                        <w:color w:val="C00000"/>
                        <w:sz w:val="16"/>
                      </w:rPr>
                      <w:t>ISSNE:XXXX-</w:t>
                    </w:r>
                    <w:r w:rsidR="00517E0C">
                      <w:rPr>
                        <w:rFonts w:ascii="Calibri"/>
                        <w:b/>
                        <w:color w:val="C00000"/>
                        <w:spacing w:val="-4"/>
                        <w:sz w:val="16"/>
                      </w:rPr>
                      <w:t>XXXX</w:t>
                    </w:r>
                  </w:p>
                  <w:p w:rsidR="0020726C" w:rsidRDefault="006D6528">
                    <w:pPr>
                      <w:spacing w:before="1"/>
                      <w:ind w:left="8055" w:right="670" w:hanging="3"/>
                      <w:rPr>
                        <w:rFonts w:ascii="Calibri"/>
                        <w:b/>
                        <w:sz w:val="16"/>
                      </w:rPr>
                    </w:pPr>
                    <w:r>
                      <w:rPr>
                        <w:rFonts w:ascii="Calibri"/>
                        <w:b/>
                        <w:color w:val="C00000"/>
                        <w:sz w:val="16"/>
                      </w:rPr>
                      <w:t>2024</w:t>
                    </w:r>
                    <w:r w:rsidR="00E05513">
                      <w:rPr>
                        <w:rFonts w:ascii="Calibri"/>
                        <w:b/>
                        <w:color w:val="C00000"/>
                        <w:sz w:val="16"/>
                      </w:rPr>
                      <w:t xml:space="preserve"> </w:t>
                    </w:r>
                    <w:r>
                      <w:rPr>
                        <w:rFonts w:ascii="Calibri"/>
                        <w:b/>
                        <w:color w:val="C00000"/>
                        <w:sz w:val="16"/>
                      </w:rPr>
                      <w:t>June,</w:t>
                    </w:r>
                    <w:r w:rsidR="00E05513">
                      <w:rPr>
                        <w:rFonts w:ascii="Calibri"/>
                        <w:b/>
                        <w:color w:val="C00000"/>
                        <w:sz w:val="16"/>
                      </w:rPr>
                      <w:t xml:space="preserve"> </w:t>
                    </w:r>
                    <w:r>
                      <w:rPr>
                        <w:rFonts w:ascii="Calibri"/>
                        <w:b/>
                        <w:color w:val="C00000"/>
                        <w:sz w:val="16"/>
                      </w:rPr>
                      <w:t>Volume</w:t>
                    </w:r>
                    <w:r w:rsidR="00E05513">
                      <w:rPr>
                        <w:rFonts w:ascii="Calibri"/>
                        <w:b/>
                        <w:color w:val="C00000"/>
                        <w:sz w:val="16"/>
                      </w:rPr>
                      <w:t xml:space="preserve"> </w:t>
                    </w:r>
                    <w:r>
                      <w:rPr>
                        <w:rFonts w:ascii="Calibri"/>
                        <w:b/>
                        <w:color w:val="C00000"/>
                        <w:sz w:val="16"/>
                      </w:rPr>
                      <w:t>1Issue</w:t>
                    </w:r>
                    <w:r w:rsidR="00E05513">
                      <w:rPr>
                        <w:rFonts w:ascii="Calibri"/>
                        <w:b/>
                        <w:color w:val="C00000"/>
                        <w:sz w:val="16"/>
                      </w:rPr>
                      <w:t xml:space="preserve"> </w:t>
                    </w:r>
                    <w:r>
                      <w:rPr>
                        <w:rFonts w:ascii="Calibri"/>
                        <w:b/>
                        <w:color w:val="C00000"/>
                        <w:sz w:val="16"/>
                      </w:rPr>
                      <w:t>1,</w:t>
                    </w:r>
                    <w:r w:rsidR="00E05513">
                      <w:rPr>
                        <w:rFonts w:ascii="Calibri"/>
                        <w:b/>
                        <w:color w:val="C00000"/>
                        <w:sz w:val="16"/>
                      </w:rPr>
                      <w:t xml:space="preserve"> P34-37, </w:t>
                    </w:r>
                    <w:r w:rsidR="00517E0C">
                      <w:rPr>
                        <w:rFonts w:ascii="Calibri"/>
                        <w:b/>
                        <w:color w:val="C00000"/>
                        <w:spacing w:val="-4"/>
                        <w:sz w:val="16"/>
                      </w:rPr>
                      <w:t>DOI:</w:t>
                    </w:r>
                  </w:p>
                  <w:p w:rsidR="0020726C" w:rsidRDefault="00517E0C">
                    <w:pPr>
                      <w:spacing w:line="533" w:lineRule="exact"/>
                      <w:ind w:left="790"/>
                      <w:jc w:val="center"/>
                      <w:rPr>
                        <w:rFonts w:ascii="Calibri"/>
                        <w:b/>
                        <w:sz w:val="44"/>
                      </w:rPr>
                    </w:pPr>
                    <w:r>
                      <w:rPr>
                        <w:rFonts w:ascii="Calibri"/>
                        <w:b/>
                        <w:color w:val="C00000"/>
                        <w:sz w:val="44"/>
                      </w:rPr>
                      <w:t>JOURNALFORSTEMCELLANDCLINICAL</w:t>
                    </w:r>
                    <w:r>
                      <w:rPr>
                        <w:rFonts w:ascii="Calibri"/>
                        <w:b/>
                        <w:color w:val="C00000"/>
                        <w:spacing w:val="-2"/>
                        <w:sz w:val="44"/>
                      </w:rPr>
                      <w:t>RESEARCH</w:t>
                    </w:r>
                  </w:p>
                </w:txbxContent>
              </v:textbox>
            </v:shape>
            <w10:wrap anchorx="page" anchory="page"/>
          </v:group>
        </w:pict>
      </w:r>
    </w:p>
    <w:p w:rsidR="0020726C" w:rsidRDefault="0020726C">
      <w:pPr>
        <w:pStyle w:val="BodyText"/>
        <w:rPr>
          <w:sz w:val="22"/>
        </w:rPr>
      </w:pPr>
    </w:p>
    <w:p w:rsidR="0020726C" w:rsidRDefault="0020726C">
      <w:pPr>
        <w:pStyle w:val="BodyText"/>
        <w:rPr>
          <w:sz w:val="22"/>
        </w:rPr>
      </w:pPr>
    </w:p>
    <w:p w:rsidR="0020726C" w:rsidRDefault="0020726C">
      <w:pPr>
        <w:pStyle w:val="BodyText"/>
        <w:rPr>
          <w:sz w:val="22"/>
        </w:rPr>
      </w:pPr>
    </w:p>
    <w:p w:rsidR="0020726C" w:rsidRDefault="0020726C">
      <w:pPr>
        <w:pStyle w:val="BodyText"/>
        <w:rPr>
          <w:sz w:val="22"/>
        </w:rPr>
      </w:pPr>
    </w:p>
    <w:p w:rsidR="0020726C" w:rsidRDefault="0020726C">
      <w:pPr>
        <w:pStyle w:val="BodyText"/>
        <w:spacing w:before="233"/>
        <w:rPr>
          <w:sz w:val="22"/>
        </w:rPr>
      </w:pPr>
    </w:p>
    <w:p w:rsidR="0020726C" w:rsidRDefault="0095575D">
      <w:pPr>
        <w:tabs>
          <w:tab w:val="left" w:pos="4172"/>
          <w:tab w:val="left" w:pos="8274"/>
        </w:tabs>
        <w:ind w:right="182"/>
        <w:jc w:val="center"/>
        <w:rPr>
          <w:rFonts w:ascii="Calibri"/>
          <w:b/>
        </w:rPr>
      </w:pPr>
      <w:r w:rsidRPr="0095575D">
        <w:pict>
          <v:group id="docshapegroup8" o:spid="_x0000_s1037" style="position:absolute;left:0;text-align:left;margin-left:-1.1pt;margin-top:-5.9pt;width:614.25pt;height:2.3pt;z-index:15730688;mso-position-horizontal-relative:page" coordorigin="-23,-118" coordsize="12285,46">
            <v:line id="_x0000_s1039" style="position:absolute" from="0,-96" to="12240,-95" strokecolor="#c00000" strokeweight="2.25pt"/>
            <v:line id="_x0000_s1038" style="position:absolute" from="12240,-95" to="0,-95" strokecolor="#c00000" strokeweight="2.25pt"/>
            <w10:wrap anchorx="page"/>
          </v:group>
        </w:pict>
      </w:r>
      <w:r w:rsidRPr="0095575D">
        <w:pict>
          <v:line id="_x0000_s1036" style="position:absolute;left:0;text-align:left;z-index:15731200;mso-position-horizontal-relative:page" from="0,17.75pt" to="612pt,17.75pt" strokecolor="#c00000" strokeweight="2.25pt">
            <w10:wrap anchorx="page"/>
          </v:line>
        </w:pict>
      </w:r>
      <w:r w:rsidR="00517E0C">
        <w:rPr>
          <w:rFonts w:ascii="Calibri"/>
          <w:b/>
          <w:spacing w:val="-2"/>
        </w:rPr>
        <w:t>Anatomy</w:t>
      </w:r>
      <w:r w:rsidR="00517E0C">
        <w:rPr>
          <w:rFonts w:ascii="Calibri"/>
          <w:b/>
        </w:rPr>
        <w:tab/>
      </w:r>
      <w:hyperlink r:id="rId9">
        <w:r w:rsidR="00517E0C">
          <w:rPr>
            <w:rFonts w:ascii="Calibri"/>
            <w:b/>
            <w:spacing w:val="-2"/>
          </w:rPr>
          <w:t>www.jsccr.org</w:t>
        </w:r>
      </w:hyperlink>
      <w:r w:rsidR="00517E0C">
        <w:rPr>
          <w:rFonts w:ascii="Calibri"/>
          <w:b/>
        </w:rPr>
        <w:tab/>
        <w:t>Paper</w:t>
      </w:r>
      <w:r w:rsidR="006D6528">
        <w:rPr>
          <w:rFonts w:ascii="Calibri"/>
          <w:b/>
        </w:rPr>
        <w:t xml:space="preserve"> </w:t>
      </w:r>
      <w:r w:rsidR="00517E0C">
        <w:rPr>
          <w:rFonts w:ascii="Calibri"/>
          <w:b/>
        </w:rPr>
        <w:t>Published</w:t>
      </w:r>
      <w:r w:rsidR="006D6528">
        <w:rPr>
          <w:rFonts w:ascii="Calibri"/>
          <w:b/>
        </w:rPr>
        <w:t xml:space="preserve"> </w:t>
      </w:r>
      <w:r w:rsidR="00517E0C">
        <w:rPr>
          <w:rFonts w:ascii="Calibri"/>
          <w:b/>
        </w:rPr>
        <w:t>Date:</w:t>
      </w:r>
      <w:r w:rsidR="00E05513">
        <w:rPr>
          <w:rFonts w:ascii="Calibri"/>
          <w:b/>
          <w:spacing w:val="-2"/>
        </w:rPr>
        <w:t>25/07</w:t>
      </w:r>
      <w:r w:rsidR="00517E0C">
        <w:rPr>
          <w:rFonts w:ascii="Calibri"/>
          <w:b/>
          <w:spacing w:val="-2"/>
        </w:rPr>
        <w:t>/2024</w:t>
      </w:r>
    </w:p>
    <w:p w:rsidR="0020726C" w:rsidRDefault="0020726C">
      <w:pPr>
        <w:pStyle w:val="BodyText"/>
        <w:spacing w:before="188"/>
        <w:rPr>
          <w:rFonts w:ascii="Calibri"/>
          <w:b/>
          <w:sz w:val="22"/>
        </w:rPr>
      </w:pPr>
    </w:p>
    <w:p w:rsidR="0020726C" w:rsidRDefault="00517E0C">
      <w:pPr>
        <w:pStyle w:val="Heading1"/>
        <w:spacing w:line="278" w:lineRule="auto"/>
        <w:ind w:left="643" w:right="797"/>
        <w:jc w:val="center"/>
      </w:pPr>
      <w:r>
        <w:t>How</w:t>
      </w:r>
      <w:r w:rsidR="00162414">
        <w:t xml:space="preserve"> </w:t>
      </w:r>
      <w:r>
        <w:t>to</w:t>
      </w:r>
      <w:r w:rsidR="00150E1B">
        <w:t xml:space="preserve"> </w:t>
      </w:r>
      <w:r>
        <w:t>Preparation</w:t>
      </w:r>
      <w:r w:rsidR="00150E1B">
        <w:t xml:space="preserve"> </w:t>
      </w:r>
      <w:r>
        <w:t>of</w:t>
      </w:r>
      <w:r w:rsidR="00150E1B">
        <w:t xml:space="preserve"> </w:t>
      </w:r>
      <w:r>
        <w:t>bone</w:t>
      </w:r>
      <w:r w:rsidR="00150E1B">
        <w:t xml:space="preserve"> </w:t>
      </w:r>
      <w:r>
        <w:t>from</w:t>
      </w:r>
      <w:r w:rsidR="00150E1B">
        <w:t xml:space="preserve"> </w:t>
      </w:r>
      <w:r>
        <w:t>Embalmed</w:t>
      </w:r>
      <w:r w:rsidR="00150E1B">
        <w:t xml:space="preserve"> </w:t>
      </w:r>
      <w:r>
        <w:t>Human</w:t>
      </w:r>
      <w:r w:rsidR="00150E1B">
        <w:t xml:space="preserve"> </w:t>
      </w:r>
      <w:r w:rsidR="00E05513">
        <w:t>Cadavers</w:t>
      </w:r>
      <w:r>
        <w:t>.</w:t>
      </w:r>
      <w:r w:rsidR="00E05513">
        <w:t xml:space="preserve"> As a Cadaveric Study</w:t>
      </w:r>
      <w:r w:rsidR="00E05513">
        <w:tab/>
      </w:r>
    </w:p>
    <w:p w:rsidR="0020726C" w:rsidRDefault="0095575D">
      <w:pPr>
        <w:pStyle w:val="BodyText"/>
        <w:spacing w:before="265" w:line="247" w:lineRule="auto"/>
        <w:ind w:left="3068" w:right="3218"/>
        <w:jc w:val="center"/>
      </w:pPr>
      <w:r>
        <w:pict>
          <v:rect id="docshape9" o:spid="_x0000_s1035" style="position:absolute;left:0;text-align:left;margin-left:0;margin-top:57.5pt;width:612pt;height:2.25pt;z-index:15731712;mso-position-horizontal-relative:page" fillcolor="#c00000" stroked="f">
            <w10:wrap anchorx="page"/>
          </v:rect>
        </w:pict>
      </w:r>
      <w:r w:rsidR="00E05513">
        <w:t>Dr Prof. Arun Sinha, S Swami Nathan</w:t>
      </w:r>
      <w:r w:rsidR="00517E0C">
        <w:t>*</w:t>
      </w:r>
      <w:r w:rsidR="00D524F5">
        <w:t xml:space="preserve"> </w:t>
      </w:r>
      <w:r w:rsidR="00517E0C">
        <w:t>RKMCH-RC</w:t>
      </w:r>
      <w:r w:rsidR="00E05513">
        <w:t xml:space="preserve"> </w:t>
      </w:r>
      <w:r w:rsidR="00517E0C">
        <w:t>,Bhopal,MP. Corresponding Author*</w:t>
      </w:r>
    </w:p>
    <w:p w:rsidR="0020726C" w:rsidRDefault="0095575D">
      <w:pPr>
        <w:pStyle w:val="BodyText"/>
        <w:spacing w:before="194"/>
        <w:rPr>
          <w:sz w:val="20"/>
        </w:rPr>
      </w:pPr>
      <w:r w:rsidRPr="0095575D">
        <w:pict>
          <v:shape id="docshape10" o:spid="_x0000_s1034" type="#_x0000_t202" style="position:absolute;margin-left:22.55pt;margin-top:22.85pt;width:568.5pt;height:188.75pt;z-index:-15728640;mso-wrap-distance-left:0;mso-wrap-distance-right:0;mso-position-horizontal-relative:page" filled="f">
            <v:textbox style="mso-next-textbox:#docshape10" inset="0,0,0,0">
              <w:txbxContent>
                <w:p w:rsidR="0020726C" w:rsidRDefault="00517E0C" w:rsidP="00E05513">
                  <w:pPr>
                    <w:spacing w:before="72"/>
                    <w:rPr>
                      <w:b/>
                      <w:sz w:val="24"/>
                    </w:rPr>
                  </w:pPr>
                  <w:r>
                    <w:rPr>
                      <w:b/>
                      <w:spacing w:val="-2"/>
                      <w:sz w:val="24"/>
                    </w:rPr>
                    <w:t>Abstract:</w:t>
                  </w:r>
                </w:p>
                <w:p w:rsidR="00E05513" w:rsidRDefault="00E05513" w:rsidP="00E05513">
                  <w:pPr>
                    <w:pStyle w:val="NormalWeb"/>
                  </w:pPr>
                  <w:r>
                    <w:t>This study outlines a standardized protocol for extracting and preparing bones from embalmed human cadavers for anatomical research. The process involves a meticulous sequence of soft tissue removal, maceration, boiling, bleaching, and degreasing. The efficacy of hydrogen peroxide as a bleaching agent and acetone for degreasing was evaluated. The study emphasizes the importance of proper handling and disposal of chemicals, as well as the ethical considerations surrounding the use of human cadavers. The resulting clean, white, and dry bones provide valuable resources for anatomical studies, contributing to advancements in medical education and research.</w:t>
                  </w:r>
                </w:p>
                <w:p w:rsidR="00E05513" w:rsidRDefault="00E05513" w:rsidP="00E05513">
                  <w:pPr>
                    <w:pStyle w:val="NormalWeb"/>
                  </w:pPr>
                  <w:r>
                    <w:rPr>
                      <w:rStyle w:val="Strong"/>
                    </w:rPr>
                    <w:t>Keywords:</w:t>
                  </w:r>
                  <w:r>
                    <w:t xml:space="preserve"> embalmed cadavers, bone preparation, maceration, bleaching, degreasing, anatomical studies</w:t>
                  </w:r>
                </w:p>
                <w:p w:rsidR="00E05513" w:rsidRDefault="00E05513">
                  <w:pPr>
                    <w:pStyle w:val="BodyText"/>
                    <w:spacing w:before="198"/>
                    <w:ind w:left="143"/>
                  </w:pPr>
                </w:p>
                <w:p w:rsidR="00E05513" w:rsidRDefault="00E05513">
                  <w:pPr>
                    <w:pStyle w:val="BodyText"/>
                    <w:spacing w:before="198"/>
                    <w:ind w:left="143"/>
                  </w:pPr>
                </w:p>
              </w:txbxContent>
            </v:textbox>
            <w10:wrap type="topAndBottom" anchorx="page"/>
          </v:shape>
        </w:pict>
      </w:r>
    </w:p>
    <w:p w:rsidR="0020726C" w:rsidRDefault="0020726C">
      <w:pPr>
        <w:pStyle w:val="BodyText"/>
        <w:rPr>
          <w:sz w:val="20"/>
        </w:rPr>
      </w:pPr>
    </w:p>
    <w:p w:rsidR="0020726C" w:rsidRDefault="00816E35" w:rsidP="00E05513">
      <w:pPr>
        <w:pStyle w:val="BodyText"/>
        <w:spacing w:before="128"/>
        <w:rPr>
          <w:sz w:val="20"/>
        </w:rPr>
        <w:sectPr w:rsidR="0020726C">
          <w:footerReference w:type="default" r:id="rId10"/>
          <w:type w:val="continuous"/>
          <w:pgSz w:w="12240" w:h="15840"/>
          <w:pgMar w:top="140" w:right="0" w:bottom="440" w:left="120" w:header="0" w:footer="257" w:gutter="0"/>
          <w:pgNumType w:start="1"/>
          <w:cols w:space="720"/>
        </w:sectPr>
      </w:pPr>
      <w:r>
        <w:rPr>
          <w:noProof/>
        </w:rPr>
        <w:pict>
          <v:shape id="_x0000_s1045" type="#_x0000_t202" style="position:absolute;margin-left:-5.95pt;margin-top:335.35pt;width:611.95pt;height:24.45pt;z-index:487589888" fillcolor="#c00000">
            <v:textbox>
              <w:txbxContent>
                <w:p w:rsidR="00816E35" w:rsidRPr="00816E35" w:rsidRDefault="00816E35" w:rsidP="00816E35">
                  <w:pPr>
                    <w:jc w:val="center"/>
                    <w:rPr>
                      <w:sz w:val="16"/>
                    </w:rPr>
                  </w:pPr>
                  <w:r w:rsidRPr="00816E35">
                    <w:rPr>
                      <w:sz w:val="16"/>
                    </w:rPr>
                    <w:t>Website: www.JSCCR.ORG, JSCCR, ISSN E: xxxx-xx</w:t>
                  </w:r>
                  <w:r>
                    <w:rPr>
                      <w:sz w:val="16"/>
                    </w:rPr>
                    <w:t>xx, 2024, Volume 1, Issue 1, P:1-4</w:t>
                  </w:r>
                  <w:r w:rsidRPr="00816E35">
                    <w:rPr>
                      <w:sz w:val="16"/>
                    </w:rPr>
                    <w:t>, Journal for Stem Cell And Clinical Research, Page No 1</w:t>
                  </w:r>
                </w:p>
              </w:txbxContent>
            </v:textbox>
          </v:shape>
        </w:pict>
      </w:r>
      <w:r w:rsidR="00E05513" w:rsidRPr="0095575D">
        <w:pict>
          <v:shape id="docshape12" o:spid="_x0000_s1032" type="#_x0000_t202" style="position:absolute;margin-left:294.45pt;margin-top:19.6pt;width:301.95pt;height:311.4pt;z-index:-15727616;mso-wrap-distance-left:0;mso-wrap-distance-right:0;mso-position-horizontal-relative:page" filled="f" strokeweight="1pt">
            <v:textbox style="mso-next-textbox:#docshape12" inset="0,0,0,0">
              <w:txbxContent>
                <w:p w:rsidR="0020726C" w:rsidRDefault="00517E0C">
                  <w:pPr>
                    <w:pStyle w:val="BodyText"/>
                    <w:spacing w:before="200"/>
                    <w:ind w:left="145" w:right="143"/>
                    <w:jc w:val="both"/>
                  </w:pPr>
                  <w:r>
                    <w:rPr>
                      <w:b/>
                      <w:color w:val="1F1F1F"/>
                    </w:rPr>
                    <w:t xml:space="preserve">Degreasing: </w:t>
                  </w:r>
                  <w:r>
                    <w:t>To remove any remaining fat and oils that may affect the preservation of the bones, they aredegreased using a solvent like acetone or ethanol.</w:t>
                  </w:r>
                  <w:r>
                    <w:rPr>
                      <w:vertAlign w:val="superscript"/>
                    </w:rPr>
                    <w:t>3</w:t>
                  </w:r>
                </w:p>
                <w:p w:rsidR="00E05513" w:rsidRDefault="00517E0C" w:rsidP="00E05513">
                  <w:pPr>
                    <w:pStyle w:val="ListParagraph"/>
                    <w:numPr>
                      <w:ilvl w:val="1"/>
                      <w:numId w:val="3"/>
                    </w:numPr>
                    <w:tabs>
                      <w:tab w:val="left" w:pos="1444"/>
                    </w:tabs>
                    <w:spacing w:line="276" w:lineRule="auto"/>
                    <w:ind w:right="588"/>
                    <w:jc w:val="both"/>
                    <w:rPr>
                      <w:sz w:val="24"/>
                    </w:rPr>
                  </w:pPr>
                  <w:r>
                    <w:rPr>
                      <w:b/>
                      <w:color w:val="1F1F1F"/>
                    </w:rPr>
                    <w:t xml:space="preserve">Drying: </w:t>
                  </w:r>
                  <w:r>
                    <w:t>Once the bones have been thoroughlycleaned and degreased, they are dried to prevent moisture damage and preserve their integrity. This may involve air-drying or using a dehydrator.</w:t>
                  </w:r>
                  <w:r w:rsidR="00E05513">
                    <w:t xml:space="preserve"> </w:t>
                  </w:r>
                  <w:r w:rsidR="00E05513">
                    <w:rPr>
                      <w:sz w:val="24"/>
                    </w:rPr>
                    <w:t xml:space="preserve">cadaver in the maceration solution, ensuring that all parts of the body are submerged. Monitor the maceration process regularly, changing the solution asneeded.Themacerationtimemayvary depending on the size and type of bones, but it typically ranges from 2 days to 8 </w:t>
                  </w:r>
                  <w:r w:rsidR="00E05513">
                    <w:rPr>
                      <w:spacing w:val="-2"/>
                      <w:sz w:val="24"/>
                    </w:rPr>
                    <w:t>weeks.</w:t>
                  </w:r>
                  <w:r w:rsidR="00E05513">
                    <w:rPr>
                      <w:spacing w:val="-2"/>
                      <w:sz w:val="24"/>
                      <w:vertAlign w:val="superscript"/>
                    </w:rPr>
                    <w:t>7</w:t>
                  </w:r>
                </w:p>
                <w:p w:rsidR="0020726C" w:rsidRDefault="0020726C">
                  <w:pPr>
                    <w:pStyle w:val="BodyText"/>
                    <w:spacing w:before="199"/>
                    <w:ind w:left="145" w:right="142"/>
                    <w:jc w:val="both"/>
                  </w:pPr>
                </w:p>
              </w:txbxContent>
            </v:textbox>
            <w10:wrap type="topAndBottom" anchorx="page"/>
          </v:shape>
        </w:pict>
      </w:r>
      <w:r w:rsidR="00E05513" w:rsidRPr="0095575D">
        <w:pict>
          <v:shape id="docshape11" o:spid="_x0000_s1033" type="#_x0000_t202" style="position:absolute;margin-left:11.3pt;margin-top:19.6pt;width:277.75pt;height:311.4pt;z-index:-15728128;mso-wrap-distance-left:0;mso-wrap-distance-right:0;mso-position-horizontal-relative:page" filled="f" strokeweight="1pt">
            <v:textbox style="mso-next-textbox:#docshape11" inset="0,0,0,0">
              <w:txbxContent>
                <w:p w:rsidR="0020726C" w:rsidRDefault="00517E0C">
                  <w:pPr>
                    <w:spacing w:before="70"/>
                    <w:ind w:left="143"/>
                    <w:rPr>
                      <w:b/>
                      <w:sz w:val="28"/>
                    </w:rPr>
                  </w:pPr>
                  <w:r>
                    <w:rPr>
                      <w:b/>
                      <w:spacing w:val="-2"/>
                      <w:sz w:val="28"/>
                    </w:rPr>
                    <w:t>Introduction:</w:t>
                  </w:r>
                </w:p>
                <w:p w:rsidR="0020726C" w:rsidRDefault="00517E0C">
                  <w:pPr>
                    <w:pStyle w:val="BodyText"/>
                    <w:spacing w:before="196"/>
                    <w:ind w:left="143" w:right="143"/>
                    <w:jc w:val="both"/>
                  </w:pPr>
                  <w:r>
                    <w:t>This procedure involves a series of meticulous steps to effectively remove soft tissues, clean the bones, and preserve their integrity for various purposes.</w:t>
                  </w:r>
                  <w:r>
                    <w:rPr>
                      <w:vertAlign w:val="superscript"/>
                    </w:rPr>
                    <w:t>1</w:t>
                  </w:r>
                  <w:r>
                    <w:t xml:space="preserve"> The retrieval and curation technique for preparing bones from embalmed human cadavers typically encompasses the this stages:</w:t>
                  </w:r>
                </w:p>
                <w:p w:rsidR="0020726C" w:rsidRDefault="00517E0C">
                  <w:pPr>
                    <w:pStyle w:val="BodyText"/>
                    <w:spacing w:before="200"/>
                    <w:ind w:left="143" w:right="145"/>
                    <w:jc w:val="both"/>
                  </w:pPr>
                  <w:r>
                    <w:rPr>
                      <w:b/>
                      <w:color w:val="1F1F1F"/>
                    </w:rPr>
                    <w:t xml:space="preserve">Maceration: </w:t>
                  </w:r>
                  <w:r>
                    <w:t>This initial phase involves soaking the bonesinasolutiontosoftenandloosenanyremaining soft tissue. The solution may consist of water, detergent, or enzymes.</w:t>
                  </w:r>
                </w:p>
                <w:p w:rsidR="00E05513" w:rsidRDefault="00E05513" w:rsidP="00E05513">
                  <w:pPr>
                    <w:pStyle w:val="BodyText"/>
                    <w:spacing w:before="64"/>
                    <w:ind w:left="145" w:right="142"/>
                    <w:jc w:val="both"/>
                  </w:pPr>
                  <w:r>
                    <w:rPr>
                      <w:b/>
                      <w:color w:val="1F1F1F"/>
                    </w:rPr>
                    <w:t xml:space="preserve">Boiling: </w:t>
                  </w:r>
                  <w:r>
                    <w:t>After maceration, the bones are boiled in water to further remove soft tissue and sterilize them. The boiling time may vary depending on the size and type of bones.</w:t>
                  </w:r>
                  <w:r>
                    <w:rPr>
                      <w:vertAlign w:val="superscript"/>
                    </w:rPr>
                    <w:t>2</w:t>
                  </w:r>
                </w:p>
                <w:p w:rsidR="00E05513" w:rsidRDefault="00E05513" w:rsidP="00E05513">
                  <w:pPr>
                    <w:pStyle w:val="BodyText"/>
                    <w:spacing w:before="202"/>
                    <w:ind w:left="145" w:right="143"/>
                    <w:jc w:val="both"/>
                  </w:pPr>
                  <w:r>
                    <w:rPr>
                      <w:b/>
                      <w:color w:val="1F1F1F"/>
                    </w:rPr>
                    <w:t xml:space="preserve">Bleaching: </w:t>
                  </w:r>
                  <w:r>
                    <w:t>Bleaching is done to whiten and brighten the bones, enhancing their visibility and providing a clearer view of their anatomical features. Hydrogen peroxide is commonly used as a bleaching agent.</w:t>
                  </w:r>
                </w:p>
                <w:p w:rsidR="00E05513" w:rsidRDefault="00816E35">
                  <w:pPr>
                    <w:pStyle w:val="BodyText"/>
                    <w:spacing w:before="200"/>
                    <w:ind w:left="143" w:right="145"/>
                    <w:jc w:val="both"/>
                  </w:pPr>
                  <w:r>
                    <w:rPr>
                      <w:noProof/>
                    </w:rPr>
                    <w:drawing>
                      <wp:inline distT="0" distB="0" distL="0" distR="0">
                        <wp:extent cx="3514725" cy="18684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514725" cy="186844"/>
                                </a:xfrm>
                                <a:prstGeom prst="rect">
                                  <a:avLst/>
                                </a:prstGeom>
                                <a:noFill/>
                                <a:ln w="9525">
                                  <a:noFill/>
                                  <a:miter lim="800000"/>
                                  <a:headEnd/>
                                  <a:tailEnd/>
                                </a:ln>
                              </pic:spPr>
                            </pic:pic>
                          </a:graphicData>
                        </a:graphic>
                      </wp:inline>
                    </w:drawing>
                  </w:r>
                </w:p>
              </w:txbxContent>
            </v:textbox>
            <w10:wrap type="topAndBottom" anchorx="page"/>
          </v:shape>
        </w:pict>
      </w:r>
    </w:p>
    <w:p w:rsidR="0020726C" w:rsidRDefault="0095575D">
      <w:pPr>
        <w:pStyle w:val="BodyText"/>
        <w:spacing w:before="89" w:line="276" w:lineRule="auto"/>
        <w:ind w:left="364"/>
      </w:pPr>
      <w:r>
        <w:lastRenderedPageBreak/>
        <w:pict>
          <v:rect id="docshape13" o:spid="_x0000_s1031" style="position:absolute;left:0;text-align:left;margin-left:16.65pt;margin-top:46.75pt;width:273.5pt;height:706.1pt;z-index:-15812608;mso-position-horizontal-relative:page;mso-position-vertical-relative:page" filled="f">
            <w10:wrap anchorx="page" anchory="page"/>
          </v:rect>
        </w:pict>
      </w:r>
      <w:r>
        <w:pict>
          <v:rect id="docshape14" o:spid="_x0000_s1030" style="position:absolute;left:0;text-align:left;margin-left:302.15pt;margin-top:46.75pt;width:287.8pt;height:711.2pt;z-index:-15812096;mso-position-horizontal-relative:page;mso-position-vertical-relative:page" filled="f">
            <w10:wrap anchorx="page" anchory="page"/>
          </v:rect>
        </w:pict>
      </w:r>
      <w:r w:rsidR="00517E0C">
        <w:rPr>
          <w:b/>
          <w:color w:val="1F1F1F"/>
        </w:rPr>
        <w:t xml:space="preserve">Storage: </w:t>
      </w:r>
      <w:r w:rsidR="00517E0C">
        <w:t>Proper storage is essential to maintain the quality of the prepared bones. They should be stored in a dry, cool, and dark environment to prevent damagefromhumidity,temperaturefluctuations,and light exposure.</w:t>
      </w:r>
      <w:r w:rsidR="00517E0C">
        <w:rPr>
          <w:vertAlign w:val="superscript"/>
        </w:rPr>
        <w:t>4</w:t>
      </w:r>
    </w:p>
    <w:p w:rsidR="0020726C" w:rsidRDefault="00517E0C">
      <w:pPr>
        <w:spacing w:before="204"/>
        <w:ind w:left="364"/>
        <w:rPr>
          <w:b/>
          <w:sz w:val="24"/>
        </w:rPr>
      </w:pPr>
      <w:r>
        <w:rPr>
          <w:b/>
          <w:color w:val="1F1F1F"/>
          <w:sz w:val="24"/>
        </w:rPr>
        <w:t>ApplicationsofPreparedBone</w:t>
      </w:r>
      <w:r>
        <w:rPr>
          <w:b/>
          <w:color w:val="1F1F1F"/>
          <w:spacing w:val="-2"/>
          <w:sz w:val="24"/>
        </w:rPr>
        <w:t xml:space="preserve"> Specimens</w:t>
      </w:r>
    </w:p>
    <w:p w:rsidR="0020726C" w:rsidRDefault="00517E0C">
      <w:pPr>
        <w:pStyle w:val="BodyText"/>
        <w:spacing w:before="238" w:line="276" w:lineRule="auto"/>
        <w:ind w:left="364" w:right="91"/>
      </w:pPr>
      <w:r>
        <w:t>Prepared bone specimens from embalmed human cadaversservevariouspurposes,including</w:t>
      </w:r>
      <w:r>
        <w:rPr>
          <w:b/>
          <w:color w:val="1F1F1F"/>
        </w:rPr>
        <w:t xml:space="preserve">Medical Education. </w:t>
      </w:r>
      <w:r>
        <w:t>These specimens are used in anatomy labs to teach medical students and healthcare professionalsaboutthestructureandfunctionofthe human skeleton.</w:t>
      </w:r>
      <w:r>
        <w:rPr>
          <w:vertAlign w:val="superscript"/>
        </w:rPr>
        <w:t>5</w:t>
      </w:r>
    </w:p>
    <w:p w:rsidR="0020726C" w:rsidRDefault="00517E0C">
      <w:pPr>
        <w:pStyle w:val="BodyText"/>
        <w:spacing w:before="201" w:line="276" w:lineRule="auto"/>
        <w:ind w:left="364" w:right="91"/>
      </w:pPr>
      <w:r>
        <w:rPr>
          <w:b/>
          <w:color w:val="1F1F1F"/>
        </w:rPr>
        <w:t xml:space="preserve">Research: </w:t>
      </w:r>
      <w:r>
        <w:t>Researchers utilize bone specimens to study bone diseases, develop new surgical techniques,andinvestigatetheeffectsofagingand environmental factors on bone health.</w:t>
      </w:r>
    </w:p>
    <w:p w:rsidR="0020726C" w:rsidRDefault="00517E0C">
      <w:pPr>
        <w:pStyle w:val="BodyText"/>
        <w:spacing w:before="199" w:line="276" w:lineRule="auto"/>
        <w:ind w:left="364" w:right="91"/>
      </w:pPr>
      <w:r>
        <w:rPr>
          <w:b/>
          <w:color w:val="1F1F1F"/>
        </w:rPr>
        <w:t>ForensicAnthropology:</w:t>
      </w:r>
      <w:r>
        <w:t>Forensicanthropologists analyze bone specimens to identify individuals, determine the time and cause of death, and reconstruct past human populations.</w:t>
      </w:r>
    </w:p>
    <w:p w:rsidR="0020726C" w:rsidRDefault="0020726C">
      <w:pPr>
        <w:pStyle w:val="BodyText"/>
      </w:pPr>
    </w:p>
    <w:p w:rsidR="0020726C" w:rsidRDefault="0020726C">
      <w:pPr>
        <w:pStyle w:val="BodyText"/>
        <w:spacing w:before="171"/>
      </w:pPr>
    </w:p>
    <w:p w:rsidR="0020726C" w:rsidRDefault="00517E0C">
      <w:pPr>
        <w:ind w:left="364"/>
        <w:rPr>
          <w:b/>
          <w:sz w:val="24"/>
        </w:rPr>
      </w:pPr>
      <w:r>
        <w:rPr>
          <w:b/>
          <w:color w:val="1F1F1F"/>
          <w:sz w:val="24"/>
        </w:rPr>
        <w:t>Material</w:t>
      </w:r>
      <w:r>
        <w:rPr>
          <w:b/>
          <w:color w:val="1F1F1F"/>
          <w:spacing w:val="-2"/>
          <w:sz w:val="24"/>
        </w:rPr>
        <w:t>Methods:</w:t>
      </w:r>
    </w:p>
    <w:p w:rsidR="0020726C" w:rsidRDefault="00517E0C">
      <w:pPr>
        <w:pStyle w:val="BodyText"/>
        <w:spacing w:before="238" w:line="276" w:lineRule="auto"/>
        <w:ind w:left="364" w:right="41"/>
        <w:jc w:val="both"/>
      </w:pPr>
      <w:r>
        <w:t>Obtaining and preparing bones from embalmed human cadavers is a crucial step in various fields, including medical education, research, and forensic anthropology. I took a body (Embalmed Human Cadaver) from the Department of Anatomy, Ram Krishna Medical College Hospital and Research Centre, Bhopal, Madhya Pradesh.</w:t>
      </w:r>
    </w:p>
    <w:p w:rsidR="0020726C" w:rsidRDefault="00517E0C">
      <w:pPr>
        <w:pStyle w:val="BodyText"/>
        <w:spacing w:before="200" w:line="276" w:lineRule="auto"/>
        <w:ind w:left="364" w:right="43"/>
        <w:jc w:val="both"/>
      </w:pPr>
      <w:r>
        <w:t>This procedure involves a series of meticulous steps to effectively remove soft tissues, clean the bones, and preserve their integrity for various purposes.</w:t>
      </w:r>
    </w:p>
    <w:p w:rsidR="0020726C" w:rsidRDefault="00517E0C">
      <w:pPr>
        <w:pStyle w:val="ListParagraph"/>
        <w:numPr>
          <w:ilvl w:val="0"/>
          <w:numId w:val="3"/>
        </w:numPr>
        <w:tabs>
          <w:tab w:val="left" w:pos="1084"/>
        </w:tabs>
        <w:spacing w:before="200" w:line="276" w:lineRule="auto"/>
        <w:ind w:right="38"/>
        <w:jc w:val="both"/>
        <w:rPr>
          <w:sz w:val="24"/>
        </w:rPr>
      </w:pPr>
      <w:r>
        <w:rPr>
          <w:b/>
          <w:sz w:val="24"/>
        </w:rPr>
        <w:t xml:space="preserve">Maceration: </w:t>
      </w:r>
      <w:r>
        <w:rPr>
          <w:sz w:val="24"/>
        </w:rPr>
        <w:t>The initial step in bone preparation involves maceration, which is the process of softening and loosening the soft tissues adhering to the bones. This can be achieved using either enzymatic or chemical maceration methods.</w:t>
      </w:r>
      <w:r>
        <w:rPr>
          <w:sz w:val="24"/>
          <w:vertAlign w:val="superscript"/>
        </w:rPr>
        <w:t>6</w:t>
      </w:r>
    </w:p>
    <w:p w:rsidR="0020726C" w:rsidRDefault="00816E35">
      <w:pPr>
        <w:pStyle w:val="ListParagraph"/>
        <w:numPr>
          <w:ilvl w:val="1"/>
          <w:numId w:val="3"/>
        </w:numPr>
        <w:tabs>
          <w:tab w:val="left" w:pos="1444"/>
        </w:tabs>
        <w:spacing w:before="89" w:line="276" w:lineRule="auto"/>
        <w:ind w:right="589"/>
        <w:jc w:val="both"/>
        <w:rPr>
          <w:sz w:val="24"/>
        </w:rPr>
      </w:pPr>
      <w:r>
        <w:rPr>
          <w:b/>
          <w:noProof/>
          <w:color w:val="1F1F1F"/>
        </w:rPr>
        <w:pict>
          <v:shape id="_x0000_s1046" type="#_x0000_t202" style="position:absolute;left:0;text-align:left;margin-left:-7.75pt;margin-top:22.75pt;width:611.95pt;height:24.45pt;z-index:487590912" fillcolor="#c00000">
            <v:textbox>
              <w:txbxContent>
                <w:p w:rsidR="00816E35" w:rsidRPr="00816E35" w:rsidRDefault="00816E35" w:rsidP="00816E35">
                  <w:pPr>
                    <w:jc w:val="center"/>
                    <w:rPr>
                      <w:sz w:val="16"/>
                    </w:rPr>
                  </w:pPr>
                  <w:r w:rsidRPr="00816E35">
                    <w:rPr>
                      <w:sz w:val="16"/>
                    </w:rPr>
                    <w:t>Website: www.JSCCR.ORG, JSCCR, ISSN E: xxxx-xxxx</w:t>
                  </w:r>
                  <w:r>
                    <w:rPr>
                      <w:sz w:val="16"/>
                    </w:rPr>
                    <w:t>, 2024, Volume 1, Issue 1, P:1-4</w:t>
                  </w:r>
                  <w:r w:rsidRPr="00816E35">
                    <w:rPr>
                      <w:sz w:val="16"/>
                    </w:rPr>
                    <w:t xml:space="preserve">, Journal for Stem Cell </w:t>
                  </w:r>
                  <w:r>
                    <w:rPr>
                      <w:sz w:val="16"/>
                    </w:rPr>
                    <w:t>And Clinical Research, Page No 2</w:t>
                  </w:r>
                </w:p>
              </w:txbxContent>
            </v:textbox>
          </v:shape>
        </w:pict>
      </w:r>
      <w:r w:rsidR="00517E0C">
        <w:br w:type="column"/>
      </w:r>
      <w:r w:rsidR="00517E0C">
        <w:rPr>
          <w:b/>
          <w:sz w:val="24"/>
        </w:rPr>
        <w:lastRenderedPageBreak/>
        <w:t xml:space="preserve">Enzymatic Maceration: </w:t>
      </w:r>
      <w:r w:rsidR="00517E0C">
        <w:rPr>
          <w:sz w:val="24"/>
        </w:rPr>
        <w:t>Prepare a maceration solution by dissolving appropriate enzymes in water. The specific enzymes used may vary depending on the type of soft tissue to be removed. Enzymatic maceration ofbones Place the cadaver in themaceration solution, ensuring that all partsofthebodyaresubmerged. Monitor the maceration process regularly, changing the solution as needed to maintain optimal enzyme activity. The maceration time may vary depending on thesizeandtypeofbones,butittypically ranges from 2 days to 8 weeks.</w:t>
      </w:r>
    </w:p>
    <w:p w:rsidR="0020726C" w:rsidRDefault="00517E0C">
      <w:pPr>
        <w:pStyle w:val="ListParagraph"/>
        <w:numPr>
          <w:ilvl w:val="1"/>
          <w:numId w:val="3"/>
        </w:numPr>
        <w:tabs>
          <w:tab w:val="left" w:pos="1444"/>
        </w:tabs>
        <w:spacing w:line="276" w:lineRule="auto"/>
        <w:ind w:right="588"/>
        <w:jc w:val="both"/>
        <w:rPr>
          <w:sz w:val="24"/>
        </w:rPr>
      </w:pPr>
      <w:r>
        <w:rPr>
          <w:b/>
          <w:sz w:val="24"/>
        </w:rPr>
        <w:t xml:space="preserve">Chemical Maceration: </w:t>
      </w:r>
      <w:r>
        <w:rPr>
          <w:sz w:val="24"/>
        </w:rPr>
        <w:t xml:space="preserve">Prepare a maceration solution by mixing waterwith a detergent or a combination of chemicals, such as sodium hydroxide (NaOH) and potassium hydroxide (KOH). Maceration of bones place the cadaver in the maceration solution, ensuring that all parts of the body are submerged. Monitor the maceration process regularly, changing the solution asneeded.Themacerationtimemayvary depending on the size and type of bones, but it typically ranges from 2 days to 8 </w:t>
      </w:r>
      <w:r>
        <w:rPr>
          <w:spacing w:val="-2"/>
          <w:sz w:val="24"/>
        </w:rPr>
        <w:t>weeks.</w:t>
      </w:r>
      <w:r>
        <w:rPr>
          <w:spacing w:val="-2"/>
          <w:sz w:val="24"/>
          <w:vertAlign w:val="superscript"/>
        </w:rPr>
        <w:t>7</w:t>
      </w:r>
    </w:p>
    <w:p w:rsidR="0020726C" w:rsidRDefault="00517E0C">
      <w:pPr>
        <w:pStyle w:val="ListParagraph"/>
        <w:numPr>
          <w:ilvl w:val="0"/>
          <w:numId w:val="3"/>
        </w:numPr>
        <w:tabs>
          <w:tab w:val="left" w:pos="724"/>
        </w:tabs>
        <w:spacing w:before="199"/>
        <w:ind w:left="724" w:right="589"/>
        <w:jc w:val="both"/>
        <w:rPr>
          <w:sz w:val="24"/>
        </w:rPr>
      </w:pPr>
      <w:r>
        <w:rPr>
          <w:b/>
          <w:sz w:val="24"/>
        </w:rPr>
        <w:t xml:space="preserve">Boiling: </w:t>
      </w:r>
      <w:r>
        <w:rPr>
          <w:sz w:val="24"/>
        </w:rPr>
        <w:t>Once the maceration process has sufficiently softened the soft tissues, the bones are removed from the maceration solution and rinsed thoroughly with water to remove any residual chemicals or enzymes. Place the bones in a pot of boiling water. Boil the bones for 30- 60 minutes, depending on the size and type of bones.Boilinghelpstofurtherremovesofttissue and sterilize the bones.</w:t>
      </w:r>
    </w:p>
    <w:p w:rsidR="0020726C" w:rsidRDefault="00517E0C">
      <w:pPr>
        <w:pStyle w:val="ListParagraph"/>
        <w:numPr>
          <w:ilvl w:val="0"/>
          <w:numId w:val="3"/>
        </w:numPr>
        <w:tabs>
          <w:tab w:val="left" w:pos="724"/>
        </w:tabs>
        <w:spacing w:before="3" w:line="276" w:lineRule="auto"/>
        <w:ind w:left="724" w:right="587"/>
        <w:jc w:val="both"/>
        <w:rPr>
          <w:sz w:val="24"/>
        </w:rPr>
      </w:pPr>
      <w:r>
        <w:rPr>
          <w:b/>
          <w:sz w:val="24"/>
        </w:rPr>
        <w:t xml:space="preserve">Bleaching: </w:t>
      </w:r>
      <w:r>
        <w:rPr>
          <w:sz w:val="24"/>
        </w:rPr>
        <w:t>After boiling, the bones are allowed to cool completely before proceeding with bleaching. Prepare a bleaching solution by mixing hydrogen peroxide with water. The concentration of hydrogen peroxide may vary depending on the desired level of bleaching. Submergethebonesinthebleachingsolutionfor</w:t>
      </w:r>
    </w:p>
    <w:p w:rsidR="0020726C" w:rsidRDefault="0020726C">
      <w:pPr>
        <w:spacing w:line="276" w:lineRule="auto"/>
        <w:jc w:val="both"/>
        <w:rPr>
          <w:sz w:val="24"/>
        </w:rPr>
        <w:sectPr w:rsidR="0020726C">
          <w:pgSz w:w="12240" w:h="15840"/>
          <w:pgMar w:top="920" w:right="0" w:bottom="500" w:left="120" w:header="0" w:footer="257" w:gutter="0"/>
          <w:cols w:num="2" w:space="720" w:equalWidth="0">
            <w:col w:w="5574" w:space="497"/>
            <w:col w:w="6049"/>
          </w:cols>
        </w:sectPr>
      </w:pPr>
    </w:p>
    <w:p w:rsidR="0020726C" w:rsidRDefault="0095575D">
      <w:pPr>
        <w:pStyle w:val="BodyText"/>
        <w:spacing w:before="77" w:line="276" w:lineRule="auto"/>
        <w:ind w:left="1202" w:right="1"/>
        <w:jc w:val="both"/>
      </w:pPr>
      <w:r>
        <w:lastRenderedPageBreak/>
        <w:pict>
          <v:rect id="docshape18" o:spid="_x0000_s1029" style="position:absolute;left:0;text-align:left;margin-left:22.55pt;margin-top:43.2pt;width:273.5pt;height:710.2pt;z-index:-15811584;mso-position-horizontal-relative:page;mso-position-vertical-relative:page" filled="f">
            <w10:wrap anchorx="page" anchory="page"/>
          </v:rect>
        </w:pict>
      </w:r>
      <w:r>
        <w:pict>
          <v:rect id="docshape19" o:spid="_x0000_s1028" style="position:absolute;left:0;text-align:left;margin-left:308.05pt;margin-top:43.2pt;width:273.5pt;height:717.6pt;z-index:-15811072;mso-position-horizontal-relative:page;mso-position-vertical-relative:page" filled="f">
            <w10:wrap anchorx="page" anchory="page"/>
          </v:rect>
        </w:pict>
      </w:r>
      <w:r w:rsidR="00517E0C">
        <w:t>1-2 hours. Bleaching helps to whiten and brighten the bones, enhancing their visibility and providing a clearer view of their anatomical features.</w:t>
      </w:r>
    </w:p>
    <w:p w:rsidR="0020726C" w:rsidRDefault="00517E0C">
      <w:pPr>
        <w:pStyle w:val="ListParagraph"/>
        <w:numPr>
          <w:ilvl w:val="0"/>
          <w:numId w:val="3"/>
        </w:numPr>
        <w:tabs>
          <w:tab w:val="left" w:pos="1200"/>
          <w:tab w:val="left" w:pos="1202"/>
        </w:tabs>
        <w:spacing w:before="1" w:line="276" w:lineRule="auto"/>
        <w:ind w:left="1202" w:right="1" w:hanging="361"/>
        <w:jc w:val="both"/>
        <w:rPr>
          <w:sz w:val="24"/>
        </w:rPr>
      </w:pPr>
      <w:r>
        <w:rPr>
          <w:b/>
          <w:sz w:val="24"/>
        </w:rPr>
        <w:t xml:space="preserve">Degreasing: </w:t>
      </w:r>
      <w:r>
        <w:rPr>
          <w:sz w:val="24"/>
        </w:rPr>
        <w:t>To remove any remaining fatand oils that may affect the preservation ofthe bones, they are degreased using a solvent like acetone or ethanol. Remove the bones from the bleaching solution and rinse them thoroughly with water. Place the bones in a container of acetone or ethanol. Degreasing removes any remaining fat and oils that may affect the preservation of the bones.</w:t>
      </w:r>
      <w:r>
        <w:rPr>
          <w:sz w:val="24"/>
          <w:vertAlign w:val="superscript"/>
        </w:rPr>
        <w:t>8</w:t>
      </w:r>
    </w:p>
    <w:p w:rsidR="0020726C" w:rsidRDefault="00517E0C">
      <w:pPr>
        <w:pStyle w:val="ListParagraph"/>
        <w:numPr>
          <w:ilvl w:val="0"/>
          <w:numId w:val="3"/>
        </w:numPr>
        <w:tabs>
          <w:tab w:val="left" w:pos="1200"/>
          <w:tab w:val="left" w:pos="1202"/>
        </w:tabs>
        <w:spacing w:line="276" w:lineRule="auto"/>
        <w:ind w:left="1202" w:hanging="361"/>
        <w:jc w:val="both"/>
        <w:rPr>
          <w:sz w:val="24"/>
        </w:rPr>
      </w:pPr>
      <w:r>
        <w:rPr>
          <w:b/>
          <w:sz w:val="24"/>
        </w:rPr>
        <w:t xml:space="preserve">Drying: </w:t>
      </w:r>
      <w:r>
        <w:rPr>
          <w:sz w:val="24"/>
        </w:rPr>
        <w:t>Once the degreasing process is complete, the bones are dried to prevent moisture damage and preserve their integrity. Remove the bones from the degreasing solution. Allow the bones to air-dry completely. Alternatively, you can use a dehydrator to dry the bones more quickly</w:t>
      </w:r>
      <w:r>
        <w:rPr>
          <w:sz w:val="24"/>
          <w:vertAlign w:val="superscript"/>
        </w:rPr>
        <w:t>15</w:t>
      </w:r>
    </w:p>
    <w:p w:rsidR="0020726C" w:rsidRDefault="00517E0C">
      <w:pPr>
        <w:pStyle w:val="ListParagraph"/>
        <w:numPr>
          <w:ilvl w:val="0"/>
          <w:numId w:val="3"/>
        </w:numPr>
        <w:tabs>
          <w:tab w:val="left" w:pos="1200"/>
          <w:tab w:val="left" w:pos="1202"/>
        </w:tabs>
        <w:spacing w:before="1" w:line="276" w:lineRule="auto"/>
        <w:ind w:left="1202" w:right="1" w:hanging="361"/>
        <w:jc w:val="both"/>
        <w:rPr>
          <w:sz w:val="24"/>
        </w:rPr>
      </w:pPr>
      <w:r>
        <w:rPr>
          <w:b/>
          <w:sz w:val="24"/>
        </w:rPr>
        <w:t xml:space="preserve">Storage: </w:t>
      </w:r>
      <w:r>
        <w:rPr>
          <w:sz w:val="24"/>
        </w:rPr>
        <w:t>Proper storage is crucial for maintainingthequalityofthe preparedbones. Theyshould be stored in a dry, cool, and dark environment to prevent damage from humidity, temperature fluctuations, and light exposure.</w:t>
      </w:r>
      <w:r>
        <w:rPr>
          <w:sz w:val="24"/>
          <w:vertAlign w:val="superscript"/>
        </w:rPr>
        <w:t>17</w:t>
      </w:r>
      <w:r>
        <w:rPr>
          <w:sz w:val="24"/>
        </w:rPr>
        <w:t xml:space="preserve"> Transfer the dried bones tostorage containers. Label the containers with thedonorinformationanddateofpreparation. Store the containers in a secure location, such as a laboratory or anatomical teaching </w:t>
      </w:r>
      <w:r>
        <w:rPr>
          <w:spacing w:val="-2"/>
          <w:sz w:val="24"/>
        </w:rPr>
        <w:t>facility.</w:t>
      </w:r>
      <w:r>
        <w:rPr>
          <w:spacing w:val="-2"/>
          <w:sz w:val="24"/>
          <w:vertAlign w:val="superscript"/>
        </w:rPr>
        <w:t>9</w:t>
      </w:r>
    </w:p>
    <w:p w:rsidR="0020726C" w:rsidRDefault="00517E0C">
      <w:pPr>
        <w:pStyle w:val="BodyText"/>
        <w:spacing w:before="200" w:line="276" w:lineRule="auto"/>
        <w:ind w:left="482"/>
        <w:rPr>
          <w:b/>
          <w:sz w:val="28"/>
        </w:rPr>
      </w:pPr>
      <w:r>
        <w:rPr>
          <w:b/>
        </w:rPr>
        <w:t xml:space="preserve">Additional Notes: </w:t>
      </w:r>
      <w:r>
        <w:t xml:space="preserve">Throughout the entire bone preparationprocess,itisessentialtowearglovesand goggles to protect yourself from harmful chemicals and fluids. Use caution when handling boiling water and sharp bones. Dispose of all waste materials, including maceration solutions, bleaching solutions, and degreasing solvents, in accordance with local r </w:t>
      </w:r>
      <w:r>
        <w:rPr>
          <w:b/>
          <w:spacing w:val="-2"/>
          <w:sz w:val="28"/>
        </w:rPr>
        <w:t>Discussion:</w:t>
      </w:r>
    </w:p>
    <w:p w:rsidR="0020726C" w:rsidRDefault="00517E0C">
      <w:pPr>
        <w:pStyle w:val="BodyText"/>
        <w:spacing w:before="200" w:line="276" w:lineRule="auto"/>
        <w:ind w:left="482" w:right="4"/>
        <w:jc w:val="both"/>
      </w:pPr>
      <w:r>
        <w:t>The authors discuss the importance of careful attention to detail throughout the bone preparation process. They emphasize the need to use proper personalprotectiveequipment,suchasgloves</w:t>
      </w:r>
      <w:r>
        <w:rPr>
          <w:spacing w:val="-5"/>
        </w:rPr>
        <w:t>and</w:t>
      </w:r>
    </w:p>
    <w:p w:rsidR="0020726C" w:rsidRDefault="00816E35">
      <w:pPr>
        <w:pStyle w:val="BodyText"/>
        <w:spacing w:before="77" w:line="276" w:lineRule="auto"/>
        <w:ind w:left="482" w:right="830"/>
      </w:pPr>
      <w:r>
        <w:rPr>
          <w:b/>
          <w:noProof/>
          <w:color w:val="1F1F1F"/>
          <w:sz w:val="28"/>
        </w:rPr>
        <w:pict>
          <v:shape id="_x0000_s1047" type="#_x0000_t202" style="position:absolute;left:0;text-align:left;margin-left:-7.25pt;margin-top:15.8pt;width:611.95pt;height:24.45pt;z-index:487591936" fillcolor="#c00000">
            <v:textbox>
              <w:txbxContent>
                <w:p w:rsidR="00816E35" w:rsidRPr="00816E35" w:rsidRDefault="00816E35" w:rsidP="00816E35">
                  <w:pPr>
                    <w:jc w:val="center"/>
                    <w:rPr>
                      <w:sz w:val="16"/>
                    </w:rPr>
                  </w:pPr>
                  <w:r w:rsidRPr="00816E35">
                    <w:rPr>
                      <w:sz w:val="16"/>
                    </w:rPr>
                    <w:t>Website: www.JSCCR.ORG, JSCCR, ISSN E: xxxx-xxxx</w:t>
                  </w:r>
                  <w:r>
                    <w:rPr>
                      <w:sz w:val="16"/>
                    </w:rPr>
                    <w:t>, 2024, Volume 1, Issue 1, P:1-4</w:t>
                  </w:r>
                  <w:r w:rsidRPr="00816E35">
                    <w:rPr>
                      <w:sz w:val="16"/>
                    </w:rPr>
                    <w:t xml:space="preserve">, Journal for Stem Cell </w:t>
                  </w:r>
                  <w:r>
                    <w:rPr>
                      <w:sz w:val="16"/>
                    </w:rPr>
                    <w:t>And Clinical Research, Page No 3</w:t>
                  </w:r>
                </w:p>
              </w:txbxContent>
            </v:textbox>
          </v:shape>
        </w:pict>
      </w:r>
      <w:r w:rsidR="00517E0C">
        <w:br w:type="column"/>
      </w:r>
      <w:r w:rsidR="00517E0C">
        <w:lastRenderedPageBreak/>
        <w:t>goggles, to protect oneself from harmful chemicals andfluids.Theyalsoemphasizetheneedtodispose of all waste materials in accordance with local regulations. The authors also discuss the ethical considerations involved in the preparation of bones from embalmed human cadavers. They emphasize the importance of obtaining proper consent from donors or their families and of treating human remainswithrespect.Thefollowingjournalarticles provide additional information on bone preparation from embalmed human cadavers:</w:t>
      </w:r>
    </w:p>
    <w:p w:rsidR="0020726C" w:rsidRDefault="00517E0C">
      <w:pPr>
        <w:spacing w:before="206" w:line="276" w:lineRule="auto"/>
        <w:ind w:left="482" w:right="778"/>
        <w:rPr>
          <w:b/>
          <w:sz w:val="24"/>
        </w:rPr>
      </w:pPr>
      <w:r>
        <w:rPr>
          <w:b/>
          <w:color w:val="1F1F1F"/>
          <w:sz w:val="24"/>
        </w:rPr>
        <w:t>2021Year,Nayyar,A.K.,BonePreparationfrom Embalmed Human Cadavers: A Retrieval and Curation Technique.</w:t>
      </w:r>
      <w:r>
        <w:rPr>
          <w:b/>
          <w:color w:val="1F1F1F"/>
          <w:sz w:val="24"/>
          <w:vertAlign w:val="superscript"/>
        </w:rPr>
        <w:t>11</w:t>
      </w:r>
    </w:p>
    <w:p w:rsidR="0020726C" w:rsidRDefault="00517E0C">
      <w:pPr>
        <w:spacing w:before="200" w:line="273" w:lineRule="auto"/>
        <w:ind w:left="482" w:right="778"/>
        <w:rPr>
          <w:sz w:val="24"/>
        </w:rPr>
      </w:pPr>
      <w:r>
        <w:rPr>
          <w:b/>
          <w:color w:val="1F1F1F"/>
          <w:sz w:val="24"/>
        </w:rPr>
        <w:t>2015Year,Uysal,S.,ASimpleandCost-Effective Method for Preparing Osteological Specimens from Formalin-Fixed Human Cadavers.</w:t>
      </w:r>
      <w:r>
        <w:rPr>
          <w:sz w:val="24"/>
          <w:vertAlign w:val="superscript"/>
        </w:rPr>
        <w:t>15</w:t>
      </w:r>
    </w:p>
    <w:p w:rsidR="0020726C" w:rsidRDefault="00517E0C">
      <w:pPr>
        <w:spacing w:before="208" w:line="273" w:lineRule="auto"/>
        <w:ind w:left="482" w:right="999"/>
        <w:jc w:val="both"/>
        <w:rPr>
          <w:sz w:val="24"/>
        </w:rPr>
      </w:pPr>
      <w:r>
        <w:rPr>
          <w:b/>
          <w:color w:val="1F1F1F"/>
          <w:sz w:val="24"/>
        </w:rPr>
        <w:t>2015Year,Gowland,R.,ASimpleandEffective Method for Disarticulating and Cleaning Bones from Embalmed Human Cadavers.</w:t>
      </w:r>
      <w:r>
        <w:rPr>
          <w:sz w:val="24"/>
          <w:vertAlign w:val="superscript"/>
        </w:rPr>
        <w:t>14</w:t>
      </w:r>
    </w:p>
    <w:p w:rsidR="0020726C" w:rsidRDefault="00517E0C">
      <w:pPr>
        <w:spacing w:before="208" w:line="273" w:lineRule="auto"/>
        <w:ind w:left="482" w:right="759"/>
        <w:rPr>
          <w:sz w:val="24"/>
        </w:rPr>
      </w:pPr>
      <w:r>
        <w:rPr>
          <w:b/>
          <w:color w:val="1F1F1F"/>
          <w:sz w:val="24"/>
        </w:rPr>
        <w:t>2014 Year,Skrzypek, A.,An Improved Method for Preparation of Human Skeletal Material from Formalin-FixedTissueinAnatomicalEducation.</w:t>
      </w:r>
      <w:r>
        <w:rPr>
          <w:sz w:val="24"/>
          <w:vertAlign w:val="superscript"/>
        </w:rPr>
        <w:t>13</w:t>
      </w:r>
    </w:p>
    <w:p w:rsidR="0020726C" w:rsidRDefault="00517E0C">
      <w:pPr>
        <w:spacing w:before="209" w:line="273" w:lineRule="auto"/>
        <w:ind w:left="482" w:right="947"/>
        <w:jc w:val="both"/>
        <w:rPr>
          <w:sz w:val="24"/>
        </w:rPr>
      </w:pPr>
      <w:r>
        <w:rPr>
          <w:b/>
          <w:color w:val="1F1F1F"/>
          <w:sz w:val="24"/>
        </w:rPr>
        <w:t>2003Year,Brenner,E.AComparativeStudyof Human Bones: Bone Preparation Techniques.</w:t>
      </w:r>
      <w:r>
        <w:rPr>
          <w:sz w:val="24"/>
          <w:vertAlign w:val="superscript"/>
        </w:rPr>
        <w:t>12</w:t>
      </w:r>
    </w:p>
    <w:p w:rsidR="0020726C" w:rsidRDefault="00517E0C">
      <w:pPr>
        <w:pStyle w:val="BodyText"/>
        <w:spacing w:before="205" w:line="276" w:lineRule="auto"/>
        <w:ind w:left="482" w:right="778"/>
      </w:pPr>
      <w:r>
        <w:rPr>
          <w:b/>
          <w:color w:val="1F1F1F"/>
          <w:sz w:val="28"/>
        </w:rPr>
        <w:t>Ethical Considerations:</w:t>
      </w:r>
      <w:r>
        <w:t>The preparation of bones from embalmed human cadavers raises ethical concernsregardingtherespectfultreatmentofhuman remainsandobtainingproperconsentfromdonorsor their families. Ethical guidelines and regulations govern the procurement, handling, and storage of human anatomical specimens.</w:t>
      </w:r>
      <w:r>
        <w:rPr>
          <w:vertAlign w:val="superscript"/>
        </w:rPr>
        <w:t>16</w:t>
      </w:r>
    </w:p>
    <w:p w:rsidR="0020726C" w:rsidRDefault="00517E0C">
      <w:pPr>
        <w:pStyle w:val="BodyText"/>
        <w:spacing w:before="200" w:line="276" w:lineRule="auto"/>
        <w:ind w:left="482" w:right="829"/>
      </w:pPr>
      <w:r>
        <w:rPr>
          <w:b/>
          <w:color w:val="1F1F1F"/>
          <w:sz w:val="28"/>
        </w:rPr>
        <w:t>Conclusion:</w:t>
      </w:r>
      <w:r>
        <w:t>The preparation of bones from embalmedhumancadaversisacomplexanddelicate process that requires careful attention to detail and adherencetoethicalguidelines.Thesepreparedbone specimens serve invaluable educational, research, andforensicpurposes,providinginsightsintohuman anatomy, health, and history.</w:t>
      </w:r>
    </w:p>
    <w:p w:rsidR="0020726C" w:rsidRDefault="0020726C">
      <w:pPr>
        <w:spacing w:line="276" w:lineRule="auto"/>
        <w:sectPr w:rsidR="0020726C">
          <w:footerReference w:type="default" r:id="rId12"/>
          <w:pgSz w:w="12240" w:h="15840"/>
          <w:pgMar w:top="860" w:right="0" w:bottom="420" w:left="120" w:header="0" w:footer="227" w:gutter="0"/>
          <w:pgNumType w:start="3"/>
          <w:cols w:num="2" w:space="720" w:equalWidth="0">
            <w:col w:w="5653" w:space="57"/>
            <w:col w:w="6410"/>
          </w:cols>
        </w:sectPr>
      </w:pPr>
    </w:p>
    <w:p w:rsidR="0020726C" w:rsidRDefault="0095575D">
      <w:pPr>
        <w:pStyle w:val="ListParagraph"/>
        <w:numPr>
          <w:ilvl w:val="0"/>
          <w:numId w:val="2"/>
        </w:numPr>
        <w:tabs>
          <w:tab w:val="left" w:pos="972"/>
        </w:tabs>
        <w:spacing w:before="85" w:line="276" w:lineRule="auto"/>
        <w:ind w:right="12"/>
        <w:rPr>
          <w:sz w:val="24"/>
        </w:rPr>
      </w:pPr>
      <w:r w:rsidRPr="0095575D">
        <w:lastRenderedPageBreak/>
        <w:pict>
          <v:rect id="docshape20" o:spid="_x0000_s1027" style="position:absolute;left:0;text-align:left;margin-left:310.3pt;margin-top:55.2pt;width:273.5pt;height:681.5pt;z-index:-15810560;mso-position-horizontal-relative:page;mso-position-vertical-relative:page" filled="f">
            <w10:wrap anchorx="page" anchory="page"/>
          </v:rect>
        </w:pict>
      </w:r>
      <w:r w:rsidRPr="0095575D">
        <w:pict>
          <v:rect id="docshape21" o:spid="_x0000_s1026" style="position:absolute;left:0;text-align:left;margin-left:29.05pt;margin-top:54.5pt;width:273.5pt;height:682.2pt;z-index:-15810048;mso-position-horizontal-relative:page;mso-position-vertical-relative:page" filled="f">
            <w10:wrap anchorx="page" anchory="page"/>
          </v:rect>
        </w:pict>
      </w:r>
      <w:r w:rsidR="00517E0C">
        <w:rPr>
          <w:sz w:val="24"/>
        </w:rPr>
        <w:t>Modi BS, Puri N, Patnaik V. Evaluation of techniquesforcleaningembalmedcadaverbones. Int J Anat Res 2014; 2:810 3.</w:t>
      </w:r>
    </w:p>
    <w:p w:rsidR="0020726C" w:rsidRDefault="00517E0C">
      <w:pPr>
        <w:pStyle w:val="ListParagraph"/>
        <w:numPr>
          <w:ilvl w:val="0"/>
          <w:numId w:val="2"/>
        </w:numPr>
        <w:tabs>
          <w:tab w:val="left" w:pos="972"/>
        </w:tabs>
        <w:spacing w:line="276" w:lineRule="auto"/>
        <w:ind w:right="167"/>
        <w:rPr>
          <w:sz w:val="24"/>
        </w:rPr>
      </w:pPr>
      <w:r>
        <w:rPr>
          <w:sz w:val="24"/>
        </w:rPr>
        <w:t>AjayiA,EdjomariegweO,IselaiyeO.Areview of bone preparation techniques for anatomical studies. Malaya J Biosci 2016; 3:76 80.</w:t>
      </w:r>
    </w:p>
    <w:p w:rsidR="0020726C" w:rsidRDefault="00517E0C">
      <w:pPr>
        <w:pStyle w:val="ListParagraph"/>
        <w:numPr>
          <w:ilvl w:val="0"/>
          <w:numId w:val="2"/>
        </w:numPr>
        <w:tabs>
          <w:tab w:val="left" w:pos="972"/>
        </w:tabs>
        <w:spacing w:line="276" w:lineRule="auto"/>
        <w:ind w:right="12"/>
        <w:rPr>
          <w:sz w:val="24"/>
        </w:rPr>
      </w:pPr>
      <w:r>
        <w:rPr>
          <w:sz w:val="24"/>
        </w:rPr>
        <w:t>CouseT,ConnorM.Acomparisonofmaceration techniques for use in forensic skeletal preparations. J Forensic Investig 2015; 3: 1 6.</w:t>
      </w:r>
    </w:p>
    <w:p w:rsidR="0020726C" w:rsidRDefault="00517E0C">
      <w:pPr>
        <w:pStyle w:val="ListParagraph"/>
        <w:numPr>
          <w:ilvl w:val="0"/>
          <w:numId w:val="2"/>
        </w:numPr>
        <w:tabs>
          <w:tab w:val="left" w:pos="972"/>
        </w:tabs>
        <w:spacing w:line="276" w:lineRule="auto"/>
        <w:ind w:right="12"/>
        <w:rPr>
          <w:sz w:val="24"/>
        </w:rPr>
      </w:pPr>
      <w:r>
        <w:rPr>
          <w:sz w:val="24"/>
        </w:rPr>
        <w:t>TobiasPV.Onthescientific,medical,dentaland educational value of collections of human skeletons. Int J Anthropol 1991; 6:277 80.</w:t>
      </w:r>
    </w:p>
    <w:p w:rsidR="0020726C" w:rsidRDefault="00517E0C">
      <w:pPr>
        <w:pStyle w:val="ListParagraph"/>
        <w:numPr>
          <w:ilvl w:val="0"/>
          <w:numId w:val="2"/>
        </w:numPr>
        <w:tabs>
          <w:tab w:val="left" w:pos="972"/>
        </w:tabs>
        <w:spacing w:line="276" w:lineRule="auto"/>
        <w:ind w:right="108"/>
        <w:rPr>
          <w:sz w:val="24"/>
        </w:rPr>
      </w:pPr>
      <w:r>
        <w:rPr>
          <w:sz w:val="24"/>
        </w:rPr>
        <w:t>Triaca A, Mahon TJ, Myburgh J. A comparison of different maceration techniques on burnt remains. J Forensic Sci. 2022 Mar; 67:676-682. doi:10.1111/1556-4029.14939.Epub2021Nov</w:t>
      </w:r>
    </w:p>
    <w:p w:rsidR="0020726C" w:rsidRDefault="00517E0C">
      <w:pPr>
        <w:pStyle w:val="BodyText"/>
        <w:ind w:left="972"/>
      </w:pPr>
      <w:r>
        <w:t>7.PMID:</w:t>
      </w:r>
      <w:r>
        <w:rPr>
          <w:spacing w:val="-2"/>
        </w:rPr>
        <w:t xml:space="preserve"> 34747030.</w:t>
      </w:r>
    </w:p>
    <w:p w:rsidR="0020726C" w:rsidRDefault="00517E0C">
      <w:pPr>
        <w:pStyle w:val="ListParagraph"/>
        <w:numPr>
          <w:ilvl w:val="0"/>
          <w:numId w:val="2"/>
        </w:numPr>
        <w:tabs>
          <w:tab w:val="left" w:pos="972"/>
        </w:tabs>
        <w:spacing w:before="42" w:line="276" w:lineRule="auto"/>
        <w:ind w:right="8"/>
        <w:rPr>
          <w:sz w:val="24"/>
        </w:rPr>
      </w:pPr>
      <w:r>
        <w:rPr>
          <w:sz w:val="24"/>
        </w:rPr>
        <w:t>FentonTW,BirkbyWH,CornelisonJ.Afastand safe non bleaching method for forensic skeletal preparation. J Forensic Sci 2003; 48:274 6.</w:t>
      </w:r>
    </w:p>
    <w:p w:rsidR="0020726C" w:rsidRDefault="00517E0C">
      <w:pPr>
        <w:pStyle w:val="ListParagraph"/>
        <w:numPr>
          <w:ilvl w:val="0"/>
          <w:numId w:val="2"/>
        </w:numPr>
        <w:tabs>
          <w:tab w:val="left" w:pos="972"/>
        </w:tabs>
        <w:spacing w:line="276" w:lineRule="auto"/>
        <w:ind w:right="1"/>
        <w:rPr>
          <w:sz w:val="24"/>
        </w:rPr>
      </w:pPr>
      <w:r>
        <w:rPr>
          <w:sz w:val="24"/>
        </w:rPr>
        <w:t>Rennick SL, Fenton TW, Foran DR. The eff ects of skeletal preparation techniques on DNA from humanandnonhumanbone.JForensicSci2005; 50:1016 9.</w:t>
      </w:r>
    </w:p>
    <w:p w:rsidR="0020726C" w:rsidRDefault="00517E0C">
      <w:pPr>
        <w:pStyle w:val="ListParagraph"/>
        <w:numPr>
          <w:ilvl w:val="0"/>
          <w:numId w:val="2"/>
        </w:numPr>
        <w:tabs>
          <w:tab w:val="left" w:pos="972"/>
        </w:tabs>
        <w:spacing w:line="276" w:lineRule="auto"/>
        <w:ind w:right="323"/>
        <w:rPr>
          <w:sz w:val="24"/>
        </w:rPr>
      </w:pPr>
      <w:r>
        <w:rPr>
          <w:sz w:val="24"/>
        </w:rPr>
        <w:t>Aggarwal N, Gupta M, Goyal PK, Kaur J. An alternativeapproachtobonecleaningmethods for anatomical purposes. Int J Anat Res 2016; 4:2216 21.</w:t>
      </w:r>
    </w:p>
    <w:p w:rsidR="0020726C" w:rsidRDefault="00517E0C">
      <w:pPr>
        <w:pStyle w:val="ListParagraph"/>
        <w:numPr>
          <w:ilvl w:val="0"/>
          <w:numId w:val="2"/>
        </w:numPr>
        <w:tabs>
          <w:tab w:val="left" w:pos="972"/>
        </w:tabs>
        <w:spacing w:line="276" w:lineRule="auto"/>
        <w:ind w:right="103"/>
        <w:rPr>
          <w:sz w:val="24"/>
        </w:rPr>
      </w:pPr>
      <w:r>
        <w:rPr>
          <w:sz w:val="24"/>
        </w:rPr>
        <w:t xml:space="preserve">Soni A, Kumar A, Sharma A, Vohra H. Comparison of maceration techniques for retrievalofbones.JAnatSocIndia2021;70:93- </w:t>
      </w:r>
      <w:r>
        <w:rPr>
          <w:spacing w:val="-6"/>
          <w:sz w:val="24"/>
        </w:rPr>
        <w:t>6.</w:t>
      </w:r>
    </w:p>
    <w:p w:rsidR="0020726C" w:rsidRDefault="00517E0C">
      <w:pPr>
        <w:pStyle w:val="ListParagraph"/>
        <w:numPr>
          <w:ilvl w:val="0"/>
          <w:numId w:val="2"/>
        </w:numPr>
        <w:tabs>
          <w:tab w:val="left" w:pos="972"/>
        </w:tabs>
        <w:spacing w:line="276" w:lineRule="auto"/>
        <w:rPr>
          <w:sz w:val="24"/>
        </w:rPr>
      </w:pPr>
      <w:r>
        <w:rPr>
          <w:sz w:val="24"/>
        </w:rPr>
        <w:t>EriksenA.M,SimonsenK.P,andRasmussenA.R (2013). Conservation of mitochondrial DNA in fast enzyme-macerated skeletal material, International Journal of Conservation Science, 4</w:t>
      </w:r>
    </w:p>
    <w:p w:rsidR="0020726C" w:rsidRDefault="00517E0C">
      <w:pPr>
        <w:pStyle w:val="BodyText"/>
        <w:ind w:left="972"/>
      </w:pPr>
      <w:r>
        <w:t>(2);127-</w:t>
      </w:r>
      <w:r>
        <w:rPr>
          <w:spacing w:val="-5"/>
        </w:rPr>
        <w:t>132</w:t>
      </w:r>
    </w:p>
    <w:p w:rsidR="0020726C" w:rsidRDefault="00517E0C">
      <w:pPr>
        <w:pStyle w:val="ListParagraph"/>
        <w:numPr>
          <w:ilvl w:val="0"/>
          <w:numId w:val="2"/>
        </w:numPr>
        <w:tabs>
          <w:tab w:val="left" w:pos="972"/>
        </w:tabs>
        <w:spacing w:before="41" w:line="276" w:lineRule="auto"/>
        <w:ind w:right="68"/>
        <w:rPr>
          <w:sz w:val="24"/>
        </w:rPr>
      </w:pPr>
      <w:r>
        <w:rPr>
          <w:sz w:val="24"/>
        </w:rPr>
        <w:t>Offele, D, Harbeck, M, Dobberstein, R.C, von Wurmb-Schwark, N and Ritz-Timme, S (2007). Softtissueremovalbymacerationandfeedingof Dermestes sp.: impact on morphological and biomolecular analyses of dental tissues in forensicmedicine.InternationalJournalofLegal</w:t>
      </w:r>
    </w:p>
    <w:p w:rsidR="0020726C" w:rsidRDefault="00816E35">
      <w:pPr>
        <w:pStyle w:val="Heading1"/>
        <w:spacing w:before="101"/>
        <w:ind w:left="434"/>
      </w:pPr>
      <w:r>
        <w:rPr>
          <w:noProof/>
          <w:sz w:val="24"/>
        </w:rPr>
        <w:pict>
          <v:shape id="_x0000_s1048" type="#_x0000_t202" style="position:absolute;left:0;text-align:left;margin-left:-7pt;margin-top:47.85pt;width:630.1pt;height:24.45pt;z-index:487592960" fillcolor="#c00000">
            <v:textbox>
              <w:txbxContent>
                <w:p w:rsidR="00816E35" w:rsidRPr="00816E35" w:rsidRDefault="00816E35" w:rsidP="00816E35">
                  <w:pPr>
                    <w:jc w:val="center"/>
                    <w:rPr>
                      <w:sz w:val="16"/>
                    </w:rPr>
                  </w:pPr>
                  <w:r w:rsidRPr="00816E35">
                    <w:rPr>
                      <w:sz w:val="16"/>
                    </w:rPr>
                    <w:t>Website: www.JSCCR.ORG, JSCCR, ISSN E: xxxx-xxxx</w:t>
                  </w:r>
                  <w:r>
                    <w:rPr>
                      <w:sz w:val="16"/>
                    </w:rPr>
                    <w:t>, 2024, Volume 1, Issue 1, P:1-4</w:t>
                  </w:r>
                  <w:r w:rsidRPr="00816E35">
                    <w:rPr>
                      <w:sz w:val="16"/>
                    </w:rPr>
                    <w:t xml:space="preserve">, Journal for Stem Cell </w:t>
                  </w:r>
                  <w:r>
                    <w:rPr>
                      <w:sz w:val="16"/>
                    </w:rPr>
                    <w:t>And Clinical Research, Page No 4</w:t>
                  </w:r>
                </w:p>
              </w:txbxContent>
            </v:textbox>
          </v:shape>
        </w:pict>
      </w:r>
      <w:r w:rsidR="00517E0C">
        <w:rPr>
          <w:b w:val="0"/>
        </w:rPr>
        <w:br w:type="column"/>
      </w:r>
      <w:r w:rsidR="00517E0C">
        <w:rPr>
          <w:spacing w:val="-2"/>
        </w:rPr>
        <w:lastRenderedPageBreak/>
        <w:t>References:</w:t>
      </w:r>
    </w:p>
    <w:p w:rsidR="0020726C" w:rsidRDefault="00517E0C">
      <w:pPr>
        <w:pStyle w:val="ListParagraph"/>
        <w:numPr>
          <w:ilvl w:val="0"/>
          <w:numId w:val="1"/>
        </w:numPr>
        <w:tabs>
          <w:tab w:val="left" w:pos="795"/>
        </w:tabs>
        <w:spacing w:before="246" w:line="276" w:lineRule="auto"/>
        <w:ind w:right="797"/>
        <w:rPr>
          <w:sz w:val="24"/>
        </w:rPr>
      </w:pPr>
      <w:r>
        <w:rPr>
          <w:sz w:val="24"/>
        </w:rPr>
        <w:t>Offele, D, Harbeck, M, Dobberstein, R.C, von Wurmb-Schwark, N and Ritz-Timme, S (2007). Softtissueremovalbymacerationandfeedingof Dermestes sp.: impact on morphological and biomolecular analyses of dental tissues in forensicmedicine.InternationalJournalofLegal Medicine, 121(5), 341–8.</w:t>
      </w:r>
    </w:p>
    <w:p w:rsidR="0020726C" w:rsidRDefault="00517E0C">
      <w:pPr>
        <w:pStyle w:val="ListParagraph"/>
        <w:numPr>
          <w:ilvl w:val="0"/>
          <w:numId w:val="1"/>
        </w:numPr>
        <w:tabs>
          <w:tab w:val="left" w:pos="795"/>
        </w:tabs>
        <w:spacing w:before="1" w:line="276" w:lineRule="auto"/>
        <w:ind w:right="1387"/>
        <w:jc w:val="both"/>
        <w:rPr>
          <w:sz w:val="24"/>
        </w:rPr>
      </w:pPr>
      <w:r>
        <w:rPr>
          <w:sz w:val="24"/>
        </w:rPr>
        <w:t>Christensen, A.M and Myers, S.W (2011). Macroscopic observations of the effects of varyingfreshwaterpHonbone.Journalof forensic sciences, 56(2), 475–9.</w:t>
      </w:r>
    </w:p>
    <w:p w:rsidR="0020726C" w:rsidRDefault="00517E0C">
      <w:pPr>
        <w:pStyle w:val="ListParagraph"/>
        <w:numPr>
          <w:ilvl w:val="0"/>
          <w:numId w:val="1"/>
        </w:numPr>
        <w:tabs>
          <w:tab w:val="left" w:pos="795"/>
        </w:tabs>
        <w:spacing w:line="276" w:lineRule="auto"/>
        <w:ind w:right="869"/>
        <w:jc w:val="both"/>
        <w:rPr>
          <w:sz w:val="24"/>
        </w:rPr>
      </w:pPr>
      <w:r>
        <w:rPr>
          <w:sz w:val="24"/>
        </w:rPr>
        <w:t>Hefti,E,Trechsel,U,Rüfenacht,H and Fleisch, H (1980). Use of dermestid beetles for cleaning bones.CalcifiedTissueInternational,31(1),45–</w:t>
      </w:r>
    </w:p>
    <w:p w:rsidR="0020726C" w:rsidRDefault="00517E0C">
      <w:pPr>
        <w:pStyle w:val="BodyText"/>
        <w:spacing w:line="274" w:lineRule="exact"/>
        <w:ind w:left="795"/>
      </w:pPr>
      <w:r>
        <w:rPr>
          <w:spacing w:val="-5"/>
        </w:rPr>
        <w:t>47.</w:t>
      </w:r>
    </w:p>
    <w:p w:rsidR="0020726C" w:rsidRDefault="00517E0C">
      <w:pPr>
        <w:pStyle w:val="ListParagraph"/>
        <w:numPr>
          <w:ilvl w:val="0"/>
          <w:numId w:val="1"/>
        </w:numPr>
        <w:tabs>
          <w:tab w:val="left" w:pos="795"/>
        </w:tabs>
        <w:spacing w:before="44" w:line="276" w:lineRule="auto"/>
        <w:ind w:right="814"/>
        <w:rPr>
          <w:sz w:val="24"/>
        </w:rPr>
      </w:pPr>
      <w:r>
        <w:rPr>
          <w:sz w:val="24"/>
        </w:rPr>
        <w:t>Backwell, L.R. Parkinson, A.H, Roberts, E.M, d’Errico, F and Huchet, J.B (2012a). Criteria for identifying bone modification by termites in the fossil record. Palaeogeography, Palaeoclimatology,Palaeoecology,337-338,72–</w:t>
      </w:r>
    </w:p>
    <w:p w:rsidR="0020726C" w:rsidRDefault="00517E0C">
      <w:pPr>
        <w:pStyle w:val="BodyText"/>
        <w:spacing w:line="276" w:lineRule="exact"/>
        <w:ind w:left="795"/>
      </w:pPr>
      <w:r>
        <w:t>87,3(1),</w:t>
      </w:r>
      <w:r>
        <w:rPr>
          <w:spacing w:val="-4"/>
        </w:rPr>
        <w:t>1–6.</w:t>
      </w:r>
    </w:p>
    <w:p w:rsidR="0020726C" w:rsidRDefault="00517E0C">
      <w:pPr>
        <w:pStyle w:val="ListParagraph"/>
        <w:numPr>
          <w:ilvl w:val="0"/>
          <w:numId w:val="1"/>
        </w:numPr>
        <w:tabs>
          <w:tab w:val="left" w:pos="794"/>
        </w:tabs>
        <w:spacing w:before="41"/>
        <w:ind w:left="794" w:hanging="360"/>
        <w:rPr>
          <w:sz w:val="24"/>
        </w:rPr>
      </w:pPr>
      <w:r>
        <w:rPr>
          <w:sz w:val="24"/>
        </w:rPr>
        <w:t xml:space="preserve">Onwuama,K.T,Salami, S.O,Ali, Mand </w:t>
      </w:r>
      <w:r>
        <w:rPr>
          <w:spacing w:val="-2"/>
          <w:sz w:val="24"/>
        </w:rPr>
        <w:t>Nzalak,</w:t>
      </w:r>
    </w:p>
    <w:p w:rsidR="0020726C" w:rsidRDefault="00517E0C">
      <w:pPr>
        <w:pStyle w:val="BodyText"/>
        <w:spacing w:before="41" w:line="276" w:lineRule="auto"/>
        <w:ind w:left="795" w:right="756"/>
      </w:pPr>
      <w:r>
        <w:t>J. O (2012). Effect of different methods of bone preparation on the skeleton of the African giant pouched rat (cricetomys gambianus). InternationalJournalofMorphology,30(2),425–</w:t>
      </w:r>
    </w:p>
    <w:p w:rsidR="0020726C" w:rsidRDefault="00517E0C">
      <w:pPr>
        <w:pStyle w:val="BodyText"/>
        <w:ind w:left="795"/>
      </w:pPr>
      <w:r>
        <w:rPr>
          <w:spacing w:val="-4"/>
        </w:rPr>
        <w:t>427.</w:t>
      </w:r>
    </w:p>
    <w:p w:rsidR="0020726C" w:rsidRDefault="00517E0C">
      <w:pPr>
        <w:pStyle w:val="ListParagraph"/>
        <w:numPr>
          <w:ilvl w:val="0"/>
          <w:numId w:val="1"/>
        </w:numPr>
        <w:tabs>
          <w:tab w:val="left" w:pos="795"/>
        </w:tabs>
        <w:spacing w:before="41" w:line="276" w:lineRule="auto"/>
        <w:ind w:right="1145"/>
        <w:rPr>
          <w:sz w:val="24"/>
        </w:rPr>
      </w:pPr>
      <w:r>
        <w:rPr>
          <w:sz w:val="24"/>
        </w:rPr>
        <w:t>Bartels,TandMeyer,W(1991).Aquickand effective method for the maceration of vertebrates. DTW. Deutsche tierärztliche Wochenschrift, 98(11), 407 – 9.</w:t>
      </w:r>
    </w:p>
    <w:p w:rsidR="0020726C" w:rsidRDefault="00517E0C">
      <w:pPr>
        <w:pStyle w:val="ListParagraph"/>
        <w:numPr>
          <w:ilvl w:val="0"/>
          <w:numId w:val="1"/>
        </w:numPr>
        <w:tabs>
          <w:tab w:val="left" w:pos="795"/>
        </w:tabs>
        <w:spacing w:line="276" w:lineRule="auto"/>
        <w:ind w:right="884"/>
        <w:rPr>
          <w:sz w:val="24"/>
        </w:rPr>
      </w:pPr>
      <w:r>
        <w:rPr>
          <w:sz w:val="24"/>
        </w:rPr>
        <w:t>Simonsen, K.P, Rasmussen, A.R, Mathisen, P, Petersen, H and Borup, F (2011). A fast preparation of skeletal materials using enzyme maceration.JournalofForensicSciences,56(2), 480 – 4.</w:t>
      </w:r>
    </w:p>
    <w:sectPr w:rsidR="0020726C" w:rsidSect="0020726C">
      <w:pgSz w:w="12240" w:h="15840"/>
      <w:pgMar w:top="1080" w:right="0" w:bottom="440" w:left="120" w:header="0" w:footer="227" w:gutter="0"/>
      <w:cols w:num="2" w:space="720" w:equalWidth="0">
        <w:col w:w="5764" w:space="40"/>
        <w:col w:w="631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A65" w:rsidRDefault="00AD1A65" w:rsidP="0020726C">
      <w:r>
        <w:separator/>
      </w:r>
    </w:p>
  </w:endnote>
  <w:endnote w:type="continuationSeparator" w:id="1">
    <w:p w:rsidR="00AD1A65" w:rsidRDefault="00AD1A65" w:rsidP="00207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6C" w:rsidRDefault="0095575D">
    <w:pPr>
      <w:pStyle w:val="BodyText"/>
      <w:spacing w:line="14" w:lineRule="auto"/>
      <w:rPr>
        <w:sz w:val="20"/>
      </w:rPr>
    </w:pPr>
    <w:r w:rsidRPr="0095575D">
      <w:pict>
        <v:group id="docshapegroup1" o:spid="_x0000_s2054" style="position:absolute;margin-left:0;margin-top:769.15pt;width:612pt;height:22.85pt;z-index:-15816192;mso-position-horizontal-relative:page;mso-position-vertical-relative:page" coordorigin=",15383" coordsize="12240,457">
          <v:rect id="docshape2" o:spid="_x0000_s2056" style="position:absolute;top:15391;width:12240;height:449" fillcolor="#c00000" stroked="f"/>
          <v:line id="_x0000_s2055" style="position:absolute" from="12240,15391" to="0,15391" strokecolor="#c00000"/>
          <w10:wrap anchorx="page" anchory="page"/>
        </v:group>
      </w:pict>
    </w:r>
    <w:r w:rsidRPr="0095575D">
      <w:pict>
        <v:shapetype id="_x0000_t202" coordsize="21600,21600" o:spt="202" path="m,l,21600r21600,l21600,xe">
          <v:stroke joinstyle="miter"/>
          <v:path gradientshapeok="t" o:connecttype="rect"/>
        </v:shapetype>
        <v:shape id="docshape3" o:spid="_x0000_s2053" type="#_x0000_t202" style="position:absolute;margin-left:51.45pt;margin-top:772.8pt;width:512.3pt;height:10.95pt;z-index:-15815680;mso-position-horizontal-relative:page;mso-position-vertical-relative:page" filled="f" stroked="f">
          <v:textbox style="mso-next-textbox:#docshape3" inset="0,0,0,0">
            <w:txbxContent>
              <w:p w:rsidR="0020726C" w:rsidRDefault="00517E0C">
                <w:pPr>
                  <w:spacing w:before="14"/>
                  <w:ind w:left="20"/>
                  <w:rPr>
                    <w:b/>
                    <w:sz w:val="16"/>
                  </w:rPr>
                </w:pPr>
                <w:r>
                  <w:rPr>
                    <w:b/>
                    <w:color w:val="FFFFFF"/>
                    <w:sz w:val="16"/>
                  </w:rPr>
                  <w:t>Website:</w:t>
                </w:r>
                <w:hyperlink r:id="rId1">
                  <w:r>
                    <w:rPr>
                      <w:b/>
                      <w:color w:val="FFFFFF"/>
                      <w:sz w:val="16"/>
                    </w:rPr>
                    <w:t>www.JSCCR.ORG,</w:t>
                  </w:r>
                </w:hyperlink>
                <w:r>
                  <w:rPr>
                    <w:b/>
                    <w:color w:val="FFFFFF"/>
                    <w:sz w:val="16"/>
                  </w:rPr>
                  <w:t>JSCCR,ISSNE:xxxx-xxxx,2024,Volume1,Issue1,P:11-14,JournalforStemCellAndClinicalResearch,PageNo</w:t>
                </w:r>
                <w:r w:rsidR="0095575D">
                  <w:rPr>
                    <w:b/>
                    <w:color w:val="FFFFFF"/>
                    <w:spacing w:val="-10"/>
                    <w:sz w:val="16"/>
                  </w:rPr>
                  <w:fldChar w:fldCharType="begin"/>
                </w:r>
                <w:r>
                  <w:rPr>
                    <w:b/>
                    <w:color w:val="FFFFFF"/>
                    <w:spacing w:val="-10"/>
                    <w:sz w:val="16"/>
                  </w:rPr>
                  <w:instrText xml:space="preserve"> PAGE </w:instrText>
                </w:r>
                <w:r w:rsidR="0095575D">
                  <w:rPr>
                    <w:b/>
                    <w:color w:val="FFFFFF"/>
                    <w:spacing w:val="-10"/>
                    <w:sz w:val="16"/>
                  </w:rPr>
                  <w:fldChar w:fldCharType="separate"/>
                </w:r>
                <w:r w:rsidR="00816E35">
                  <w:rPr>
                    <w:b/>
                    <w:noProof/>
                    <w:color w:val="FFFFFF"/>
                    <w:spacing w:val="-10"/>
                    <w:sz w:val="16"/>
                  </w:rPr>
                  <w:t>1</w:t>
                </w:r>
                <w:r w:rsidR="0095575D">
                  <w:rPr>
                    <w:b/>
                    <w:color w:val="FFFFFF"/>
                    <w:spacing w:val="-10"/>
                    <w:sz w:val="16"/>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6C" w:rsidRDefault="0095575D">
    <w:pPr>
      <w:pStyle w:val="BodyText"/>
      <w:spacing w:line="14" w:lineRule="auto"/>
      <w:rPr>
        <w:sz w:val="20"/>
      </w:rPr>
    </w:pPr>
    <w:r w:rsidRPr="0095575D">
      <w:pict>
        <v:group id="docshapegroup15" o:spid="_x0000_s2050" style="position:absolute;margin-left:0;margin-top:770.65pt;width:612pt;height:21.35pt;z-index:-15815168;mso-position-horizontal-relative:page;mso-position-vertical-relative:page" coordorigin=",15413" coordsize="12240,427">
          <v:rect id="docshape16" o:spid="_x0000_s2052" style="position:absolute;top:15421;width:12240;height:419" fillcolor="#c00000" stroked="f"/>
          <v:line id="_x0000_s2051" style="position:absolute" from="12240,15421" to="0,15421" strokecolor="#c00000"/>
          <w10:wrap anchorx="page" anchory="page"/>
        </v:group>
      </w:pict>
    </w:r>
    <w:r w:rsidRPr="0095575D">
      <w:pict>
        <v:shapetype id="_x0000_t202" coordsize="21600,21600" o:spt="202" path="m,l,21600r21600,l21600,xe">
          <v:stroke joinstyle="miter"/>
          <v:path gradientshapeok="t" o:connecttype="rect"/>
        </v:shapetype>
        <v:shape id="docshape17" o:spid="_x0000_s2049" type="#_x0000_t202" style="position:absolute;margin-left:40.75pt;margin-top:774.35pt;width:514.3pt;height:10.95pt;z-index:-15814656;mso-position-horizontal-relative:page;mso-position-vertical-relative:page" filled="f" stroked="f">
          <v:textbox inset="0,0,0,0">
            <w:txbxContent>
              <w:p w:rsidR="0020726C" w:rsidRDefault="00517E0C">
                <w:pPr>
                  <w:spacing w:before="14"/>
                  <w:ind w:left="20"/>
                  <w:rPr>
                    <w:b/>
                    <w:sz w:val="16"/>
                  </w:rPr>
                </w:pPr>
                <w:r>
                  <w:rPr>
                    <w:b/>
                    <w:color w:val="FFFFFF"/>
                    <w:sz w:val="16"/>
                  </w:rPr>
                  <w:t>Website:</w:t>
                </w:r>
                <w:hyperlink r:id="rId1">
                  <w:r>
                    <w:rPr>
                      <w:b/>
                      <w:color w:val="FFFFFF"/>
                      <w:sz w:val="16"/>
                    </w:rPr>
                    <w:t>www.JSCCR.ORG,</w:t>
                  </w:r>
                </w:hyperlink>
                <w:r>
                  <w:rPr>
                    <w:b/>
                    <w:color w:val="FFFFFF"/>
                    <w:sz w:val="16"/>
                  </w:rPr>
                  <w:t>JSCCR,ISSNE:xxxx-xxxx,2024,Volume1,Issue1,P:11-14,JournalforStemCellAndClinicalResearch ,PageNo</w:t>
                </w:r>
                <w:r w:rsidR="0095575D">
                  <w:rPr>
                    <w:b/>
                    <w:color w:val="FFFFFF"/>
                    <w:spacing w:val="-10"/>
                    <w:sz w:val="16"/>
                  </w:rPr>
                  <w:fldChar w:fldCharType="begin"/>
                </w:r>
                <w:r>
                  <w:rPr>
                    <w:b/>
                    <w:color w:val="FFFFFF"/>
                    <w:spacing w:val="-10"/>
                    <w:sz w:val="16"/>
                  </w:rPr>
                  <w:instrText xml:space="preserve"> PAGE </w:instrText>
                </w:r>
                <w:r w:rsidR="0095575D">
                  <w:rPr>
                    <w:b/>
                    <w:color w:val="FFFFFF"/>
                    <w:spacing w:val="-10"/>
                    <w:sz w:val="16"/>
                  </w:rPr>
                  <w:fldChar w:fldCharType="separate"/>
                </w:r>
                <w:r w:rsidR="00816E35">
                  <w:rPr>
                    <w:b/>
                    <w:noProof/>
                    <w:color w:val="FFFFFF"/>
                    <w:spacing w:val="-10"/>
                    <w:sz w:val="16"/>
                  </w:rPr>
                  <w:t>3</w:t>
                </w:r>
                <w:r w:rsidR="0095575D">
                  <w:rPr>
                    <w:b/>
                    <w:color w:val="FFFFFF"/>
                    <w:spacing w:val="-10"/>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A65" w:rsidRDefault="00AD1A65" w:rsidP="0020726C">
      <w:r>
        <w:separator/>
      </w:r>
    </w:p>
  </w:footnote>
  <w:footnote w:type="continuationSeparator" w:id="1">
    <w:p w:rsidR="00AD1A65" w:rsidRDefault="00AD1A65" w:rsidP="00207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D4F64"/>
    <w:multiLevelType w:val="hybridMultilevel"/>
    <w:tmpl w:val="087AA968"/>
    <w:lvl w:ilvl="0" w:tplc="A6E410B0">
      <w:start w:val="8"/>
      <w:numFmt w:val="decimal"/>
      <w:lvlText w:val="%1."/>
      <w:lvlJc w:val="left"/>
      <w:pPr>
        <w:ind w:left="97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9803A0E">
      <w:numFmt w:val="bullet"/>
      <w:lvlText w:val="•"/>
      <w:lvlJc w:val="left"/>
      <w:pPr>
        <w:ind w:left="1458" w:hanging="360"/>
      </w:pPr>
      <w:rPr>
        <w:rFonts w:hint="default"/>
        <w:lang w:val="en-US" w:eastAsia="en-US" w:bidi="ar-SA"/>
      </w:rPr>
    </w:lvl>
    <w:lvl w:ilvl="2" w:tplc="86AAC110">
      <w:numFmt w:val="bullet"/>
      <w:lvlText w:val="•"/>
      <w:lvlJc w:val="left"/>
      <w:pPr>
        <w:ind w:left="1936" w:hanging="360"/>
      </w:pPr>
      <w:rPr>
        <w:rFonts w:hint="default"/>
        <w:lang w:val="en-US" w:eastAsia="en-US" w:bidi="ar-SA"/>
      </w:rPr>
    </w:lvl>
    <w:lvl w:ilvl="3" w:tplc="FE76A676">
      <w:numFmt w:val="bullet"/>
      <w:lvlText w:val="•"/>
      <w:lvlJc w:val="left"/>
      <w:pPr>
        <w:ind w:left="2415" w:hanging="360"/>
      </w:pPr>
      <w:rPr>
        <w:rFonts w:hint="default"/>
        <w:lang w:val="en-US" w:eastAsia="en-US" w:bidi="ar-SA"/>
      </w:rPr>
    </w:lvl>
    <w:lvl w:ilvl="4" w:tplc="77F8FB4E">
      <w:numFmt w:val="bullet"/>
      <w:lvlText w:val="•"/>
      <w:lvlJc w:val="left"/>
      <w:pPr>
        <w:ind w:left="2893" w:hanging="360"/>
      </w:pPr>
      <w:rPr>
        <w:rFonts w:hint="default"/>
        <w:lang w:val="en-US" w:eastAsia="en-US" w:bidi="ar-SA"/>
      </w:rPr>
    </w:lvl>
    <w:lvl w:ilvl="5" w:tplc="ABCE8CFE">
      <w:numFmt w:val="bullet"/>
      <w:lvlText w:val="•"/>
      <w:lvlJc w:val="left"/>
      <w:pPr>
        <w:ind w:left="3371" w:hanging="360"/>
      </w:pPr>
      <w:rPr>
        <w:rFonts w:hint="default"/>
        <w:lang w:val="en-US" w:eastAsia="en-US" w:bidi="ar-SA"/>
      </w:rPr>
    </w:lvl>
    <w:lvl w:ilvl="6" w:tplc="528C2D7C">
      <w:numFmt w:val="bullet"/>
      <w:lvlText w:val="•"/>
      <w:lvlJc w:val="left"/>
      <w:pPr>
        <w:ind w:left="3850" w:hanging="360"/>
      </w:pPr>
      <w:rPr>
        <w:rFonts w:hint="default"/>
        <w:lang w:val="en-US" w:eastAsia="en-US" w:bidi="ar-SA"/>
      </w:rPr>
    </w:lvl>
    <w:lvl w:ilvl="7" w:tplc="4016E658">
      <w:numFmt w:val="bullet"/>
      <w:lvlText w:val="•"/>
      <w:lvlJc w:val="left"/>
      <w:pPr>
        <w:ind w:left="4328" w:hanging="360"/>
      </w:pPr>
      <w:rPr>
        <w:rFonts w:hint="default"/>
        <w:lang w:val="en-US" w:eastAsia="en-US" w:bidi="ar-SA"/>
      </w:rPr>
    </w:lvl>
    <w:lvl w:ilvl="8" w:tplc="7B528B1A">
      <w:numFmt w:val="bullet"/>
      <w:lvlText w:val="•"/>
      <w:lvlJc w:val="left"/>
      <w:pPr>
        <w:ind w:left="4807" w:hanging="360"/>
      </w:pPr>
      <w:rPr>
        <w:rFonts w:hint="default"/>
        <w:lang w:val="en-US" w:eastAsia="en-US" w:bidi="ar-SA"/>
      </w:rPr>
    </w:lvl>
  </w:abstractNum>
  <w:abstractNum w:abstractNumId="1">
    <w:nsid w:val="5916772F"/>
    <w:multiLevelType w:val="hybridMultilevel"/>
    <w:tmpl w:val="4B0A39F0"/>
    <w:lvl w:ilvl="0" w:tplc="2C24C40E">
      <w:start w:val="1"/>
      <w:numFmt w:val="decimal"/>
      <w:lvlText w:val="%1."/>
      <w:lvlJc w:val="left"/>
      <w:pPr>
        <w:ind w:left="795"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7D008E0">
      <w:numFmt w:val="bullet"/>
      <w:lvlText w:val="•"/>
      <w:lvlJc w:val="left"/>
      <w:pPr>
        <w:ind w:left="1351" w:hanging="361"/>
      </w:pPr>
      <w:rPr>
        <w:rFonts w:hint="default"/>
        <w:lang w:val="en-US" w:eastAsia="en-US" w:bidi="ar-SA"/>
      </w:rPr>
    </w:lvl>
    <w:lvl w:ilvl="2" w:tplc="C43CC5BA">
      <w:numFmt w:val="bullet"/>
      <w:lvlText w:val="•"/>
      <w:lvlJc w:val="left"/>
      <w:pPr>
        <w:ind w:left="1903" w:hanging="361"/>
      </w:pPr>
      <w:rPr>
        <w:rFonts w:hint="default"/>
        <w:lang w:val="en-US" w:eastAsia="en-US" w:bidi="ar-SA"/>
      </w:rPr>
    </w:lvl>
    <w:lvl w:ilvl="3" w:tplc="FF782DCE">
      <w:numFmt w:val="bullet"/>
      <w:lvlText w:val="•"/>
      <w:lvlJc w:val="left"/>
      <w:pPr>
        <w:ind w:left="2454" w:hanging="361"/>
      </w:pPr>
      <w:rPr>
        <w:rFonts w:hint="default"/>
        <w:lang w:val="en-US" w:eastAsia="en-US" w:bidi="ar-SA"/>
      </w:rPr>
    </w:lvl>
    <w:lvl w:ilvl="4" w:tplc="86863A90">
      <w:numFmt w:val="bullet"/>
      <w:lvlText w:val="•"/>
      <w:lvlJc w:val="left"/>
      <w:pPr>
        <w:ind w:left="3006" w:hanging="361"/>
      </w:pPr>
      <w:rPr>
        <w:rFonts w:hint="default"/>
        <w:lang w:val="en-US" w:eastAsia="en-US" w:bidi="ar-SA"/>
      </w:rPr>
    </w:lvl>
    <w:lvl w:ilvl="5" w:tplc="FD124E1E">
      <w:numFmt w:val="bullet"/>
      <w:lvlText w:val="•"/>
      <w:lvlJc w:val="left"/>
      <w:pPr>
        <w:ind w:left="3558" w:hanging="361"/>
      </w:pPr>
      <w:rPr>
        <w:rFonts w:hint="default"/>
        <w:lang w:val="en-US" w:eastAsia="en-US" w:bidi="ar-SA"/>
      </w:rPr>
    </w:lvl>
    <w:lvl w:ilvl="6" w:tplc="5036B5BE">
      <w:numFmt w:val="bullet"/>
      <w:lvlText w:val="•"/>
      <w:lvlJc w:val="left"/>
      <w:pPr>
        <w:ind w:left="4109" w:hanging="361"/>
      </w:pPr>
      <w:rPr>
        <w:rFonts w:hint="default"/>
        <w:lang w:val="en-US" w:eastAsia="en-US" w:bidi="ar-SA"/>
      </w:rPr>
    </w:lvl>
    <w:lvl w:ilvl="7" w:tplc="E646A48C">
      <w:numFmt w:val="bullet"/>
      <w:lvlText w:val="•"/>
      <w:lvlJc w:val="left"/>
      <w:pPr>
        <w:ind w:left="4661" w:hanging="361"/>
      </w:pPr>
      <w:rPr>
        <w:rFonts w:hint="default"/>
        <w:lang w:val="en-US" w:eastAsia="en-US" w:bidi="ar-SA"/>
      </w:rPr>
    </w:lvl>
    <w:lvl w:ilvl="8" w:tplc="30FEF334">
      <w:numFmt w:val="bullet"/>
      <w:lvlText w:val="•"/>
      <w:lvlJc w:val="left"/>
      <w:pPr>
        <w:ind w:left="5212" w:hanging="361"/>
      </w:pPr>
      <w:rPr>
        <w:rFonts w:hint="default"/>
        <w:lang w:val="en-US" w:eastAsia="en-US" w:bidi="ar-SA"/>
      </w:rPr>
    </w:lvl>
  </w:abstractNum>
  <w:abstractNum w:abstractNumId="2">
    <w:nsid w:val="72F60891"/>
    <w:multiLevelType w:val="hybridMultilevel"/>
    <w:tmpl w:val="848EC528"/>
    <w:lvl w:ilvl="0" w:tplc="21BCA30E">
      <w:start w:val="1"/>
      <w:numFmt w:val="decimal"/>
      <w:lvlText w:val="%1)"/>
      <w:lvlJc w:val="left"/>
      <w:pPr>
        <w:ind w:left="1084"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EC5E93DA">
      <w:start w:val="2"/>
      <w:numFmt w:val="lowerLetter"/>
      <w:lvlText w:val="%2."/>
      <w:lvlJc w:val="left"/>
      <w:pPr>
        <w:ind w:left="144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F9E0278">
      <w:numFmt w:val="bullet"/>
      <w:lvlText w:val="•"/>
      <w:lvlJc w:val="left"/>
      <w:pPr>
        <w:ind w:left="1224" w:hanging="360"/>
      </w:pPr>
      <w:rPr>
        <w:rFonts w:hint="default"/>
        <w:lang w:val="en-US" w:eastAsia="en-US" w:bidi="ar-SA"/>
      </w:rPr>
    </w:lvl>
    <w:lvl w:ilvl="3" w:tplc="1302B2D8">
      <w:numFmt w:val="bullet"/>
      <w:lvlText w:val="•"/>
      <w:lvlJc w:val="left"/>
      <w:pPr>
        <w:ind w:left="1009" w:hanging="360"/>
      </w:pPr>
      <w:rPr>
        <w:rFonts w:hint="default"/>
        <w:lang w:val="en-US" w:eastAsia="en-US" w:bidi="ar-SA"/>
      </w:rPr>
    </w:lvl>
    <w:lvl w:ilvl="4" w:tplc="8C32C0EC">
      <w:numFmt w:val="bullet"/>
      <w:lvlText w:val="•"/>
      <w:lvlJc w:val="left"/>
      <w:pPr>
        <w:ind w:left="794" w:hanging="360"/>
      </w:pPr>
      <w:rPr>
        <w:rFonts w:hint="default"/>
        <w:lang w:val="en-US" w:eastAsia="en-US" w:bidi="ar-SA"/>
      </w:rPr>
    </w:lvl>
    <w:lvl w:ilvl="5" w:tplc="BABE8802">
      <w:numFmt w:val="bullet"/>
      <w:lvlText w:val="•"/>
      <w:lvlJc w:val="left"/>
      <w:pPr>
        <w:ind w:left="579" w:hanging="360"/>
      </w:pPr>
      <w:rPr>
        <w:rFonts w:hint="default"/>
        <w:lang w:val="en-US" w:eastAsia="en-US" w:bidi="ar-SA"/>
      </w:rPr>
    </w:lvl>
    <w:lvl w:ilvl="6" w:tplc="5AACFC8C">
      <w:numFmt w:val="bullet"/>
      <w:lvlText w:val="•"/>
      <w:lvlJc w:val="left"/>
      <w:pPr>
        <w:ind w:left="363" w:hanging="360"/>
      </w:pPr>
      <w:rPr>
        <w:rFonts w:hint="default"/>
        <w:lang w:val="en-US" w:eastAsia="en-US" w:bidi="ar-SA"/>
      </w:rPr>
    </w:lvl>
    <w:lvl w:ilvl="7" w:tplc="30CECBDC">
      <w:numFmt w:val="bullet"/>
      <w:lvlText w:val="•"/>
      <w:lvlJc w:val="left"/>
      <w:pPr>
        <w:ind w:left="148" w:hanging="360"/>
      </w:pPr>
      <w:rPr>
        <w:rFonts w:hint="default"/>
        <w:lang w:val="en-US" w:eastAsia="en-US" w:bidi="ar-SA"/>
      </w:rPr>
    </w:lvl>
    <w:lvl w:ilvl="8" w:tplc="70226454">
      <w:numFmt w:val="bullet"/>
      <w:lvlText w:val="•"/>
      <w:lvlJc w:val="left"/>
      <w:pPr>
        <w:ind w:left="-67"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colormenu v:ext="edit" fillcolor="#c00000"/>
    </o:shapedefaults>
    <o:shapelayout v:ext="edit">
      <o:idmap v:ext="edit" data="2"/>
    </o:shapelayout>
  </w:hdrShapeDefaults>
  <w:footnotePr>
    <w:footnote w:id="0"/>
    <w:footnote w:id="1"/>
  </w:footnotePr>
  <w:endnotePr>
    <w:endnote w:id="0"/>
    <w:endnote w:id="1"/>
  </w:endnotePr>
  <w:compat>
    <w:ulTrailSpace/>
    <w:shapeLayoutLikeWW8/>
  </w:compat>
  <w:rsids>
    <w:rsidRoot w:val="0020726C"/>
    <w:rsid w:val="00150E1B"/>
    <w:rsid w:val="00162414"/>
    <w:rsid w:val="0020726C"/>
    <w:rsid w:val="00517E0C"/>
    <w:rsid w:val="006D6528"/>
    <w:rsid w:val="00816E35"/>
    <w:rsid w:val="0095575D"/>
    <w:rsid w:val="00AD1A65"/>
    <w:rsid w:val="00D524F5"/>
    <w:rsid w:val="00E0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726C"/>
    <w:rPr>
      <w:rFonts w:ascii="Times New Roman" w:eastAsia="Times New Roman" w:hAnsi="Times New Roman" w:cs="Times New Roman"/>
    </w:rPr>
  </w:style>
  <w:style w:type="paragraph" w:styleId="Heading1">
    <w:name w:val="heading 1"/>
    <w:basedOn w:val="Normal"/>
    <w:uiPriority w:val="1"/>
    <w:qFormat/>
    <w:rsid w:val="0020726C"/>
    <w:pPr>
      <w:ind w:left="14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0726C"/>
    <w:rPr>
      <w:sz w:val="24"/>
      <w:szCs w:val="24"/>
    </w:rPr>
  </w:style>
  <w:style w:type="paragraph" w:styleId="ListParagraph">
    <w:name w:val="List Paragraph"/>
    <w:basedOn w:val="Normal"/>
    <w:uiPriority w:val="1"/>
    <w:qFormat/>
    <w:rsid w:val="0020726C"/>
    <w:pPr>
      <w:ind w:left="972" w:hanging="360"/>
    </w:pPr>
  </w:style>
  <w:style w:type="paragraph" w:customStyle="1" w:styleId="TableParagraph">
    <w:name w:val="Table Paragraph"/>
    <w:basedOn w:val="Normal"/>
    <w:uiPriority w:val="1"/>
    <w:qFormat/>
    <w:rsid w:val="0020726C"/>
  </w:style>
  <w:style w:type="paragraph" w:styleId="NormalWeb">
    <w:name w:val="Normal (Web)"/>
    <w:basedOn w:val="Normal"/>
    <w:uiPriority w:val="99"/>
    <w:semiHidden/>
    <w:unhideWhenUsed/>
    <w:rsid w:val="00E05513"/>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E05513"/>
    <w:rPr>
      <w:b/>
      <w:bCs/>
    </w:rPr>
  </w:style>
  <w:style w:type="paragraph" w:styleId="BalloonText">
    <w:name w:val="Balloon Text"/>
    <w:basedOn w:val="Normal"/>
    <w:link w:val="BalloonTextChar"/>
    <w:uiPriority w:val="99"/>
    <w:semiHidden/>
    <w:unhideWhenUsed/>
    <w:rsid w:val="00816E35"/>
    <w:rPr>
      <w:rFonts w:ascii="Tahoma" w:hAnsi="Tahoma" w:cs="Tahoma"/>
      <w:sz w:val="16"/>
      <w:szCs w:val="16"/>
    </w:rPr>
  </w:style>
  <w:style w:type="character" w:customStyle="1" w:styleId="BalloonTextChar">
    <w:name w:val="Balloon Text Char"/>
    <w:basedOn w:val="DefaultParagraphFont"/>
    <w:link w:val="BalloonText"/>
    <w:uiPriority w:val="99"/>
    <w:semiHidden/>
    <w:rsid w:val="00816E3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180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SCC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sccr.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15</cp:revision>
  <dcterms:created xsi:type="dcterms:W3CDTF">2024-07-31T06:50:00Z</dcterms:created>
  <dcterms:modified xsi:type="dcterms:W3CDTF">2024-07-31T08:36:00Z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2024-06-29T00:00:00Z</vt:filetime>
  </property>
  <property fmtid="{D5CDD505-2E9C-101B-9397-08002B2CF9AE}" pid="3" name="Creator">
    <vt:lpwstr>Microsoft® Office Word 2007</vt:lpwstr>
  </property>
  <property fmtid="{D5CDD505-2E9C-101B-9397-08002B2CF9AE}" pid="4" name="LastSaved">
    <vt:filetime>2024-07-31T00:00:00Z</vt:filetime>
  </property>
  <property fmtid="{D5CDD505-2E9C-101B-9397-08002B2CF9AE}" pid="5" name="Producer">
    <vt:lpwstr>Microsoft® Office Word 2007</vt:lpwstr>
  </property>
</Properties>
</file>